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49E3" w14:textId="77777777" w:rsidR="00251AEE" w:rsidRPr="0063787B" w:rsidRDefault="00251AEE" w:rsidP="00251AEE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89740B0" w14:textId="77777777" w:rsidR="00251AEE" w:rsidRPr="0063787B" w:rsidRDefault="00251AEE" w:rsidP="00251AEE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Jaunimo reikalų agentūros</w:t>
      </w:r>
    </w:p>
    <w:p w14:paraId="464F45F1" w14:textId="48769F95" w:rsidR="00251AEE" w:rsidRDefault="00251AEE" w:rsidP="00251AEE">
      <w:pPr>
        <w:ind w:firstLine="453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Pr="0063787B">
        <w:rPr>
          <w:sz w:val="24"/>
          <w:szCs w:val="24"/>
          <w:lang w:val="lt-LT"/>
        </w:rPr>
        <w:t>irektoriaus</w:t>
      </w:r>
    </w:p>
    <w:p w14:paraId="55CD36C3" w14:textId="763E1241" w:rsidR="00A36667" w:rsidRPr="00251AEE" w:rsidRDefault="00251AEE" w:rsidP="00251AEE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2024 m. </w:t>
      </w:r>
      <w:r>
        <w:rPr>
          <w:sz w:val="24"/>
          <w:szCs w:val="24"/>
          <w:lang w:val="lt-LT"/>
        </w:rPr>
        <w:t>rugpjūčio</w:t>
      </w:r>
      <w:r w:rsidRPr="0063787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22</w:t>
      </w:r>
      <w:r w:rsidRPr="0063787B">
        <w:rPr>
          <w:sz w:val="24"/>
          <w:szCs w:val="24"/>
          <w:lang w:val="lt-LT"/>
        </w:rPr>
        <w:t xml:space="preserve"> d. įsakymu Nr. </w:t>
      </w:r>
      <w:r w:rsidRPr="00B43E64">
        <w:rPr>
          <w:sz w:val="24"/>
          <w:szCs w:val="24"/>
          <w:lang w:val="lt-LT"/>
        </w:rPr>
        <w:t>2V-274(1.4 E)</w:t>
      </w:r>
    </w:p>
    <w:p w14:paraId="2D6AB29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7958CB81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1CD88355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SIAURIOS SRITIES SPECIALISTO </w:t>
      </w:r>
      <w:r w:rsidR="00F31E6C" w:rsidRPr="00B57501">
        <w:rPr>
          <w:b/>
          <w:bCs/>
          <w:iCs/>
          <w:sz w:val="24"/>
          <w:szCs w:val="24"/>
          <w:lang w:val="lt-LT"/>
        </w:rPr>
        <w:t>(</w:t>
      </w:r>
      <w:r w:rsidR="00F31E6C">
        <w:rPr>
          <w:b/>
          <w:bCs/>
          <w:iCs/>
          <w:sz w:val="24"/>
          <w:szCs w:val="24"/>
          <w:lang w:val="lt-LT"/>
        </w:rPr>
        <w:t>MATEMATIKOS KONSULTANTO/MOKYTOJO</w:t>
      </w:r>
      <w:r w:rsidR="00F31E6C" w:rsidRPr="00B57501">
        <w:rPr>
          <w:b/>
          <w:bCs/>
          <w:iCs/>
          <w:sz w:val="24"/>
          <w:szCs w:val="24"/>
          <w:lang w:val="lt-LT"/>
        </w:rPr>
        <w:t>)</w:t>
      </w:r>
      <w:r w:rsidR="00F31E6C" w:rsidRPr="00B57501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PAREIGYBĖS</w:t>
      </w:r>
      <w:r w:rsidR="00510541" w:rsidRPr="00B57501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Heading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202DEFD6" w:rsidR="00E67346" w:rsidRPr="00B57501" w:rsidRDefault="001A1369" w:rsidP="00B87F43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943F08">
        <w:rPr>
          <w:sz w:val="24"/>
          <w:szCs w:val="24"/>
          <w:lang w:val="lt-LT"/>
        </w:rPr>
        <w:t>matematikos mokytojas/konsultantas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B87F43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1333D0DC" w:rsidR="00860658" w:rsidRPr="00B57501" w:rsidRDefault="0046070C" w:rsidP="00B87F43">
      <w:pPr>
        <w:pStyle w:val="ListParagraph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943F08">
        <w:rPr>
          <w:sz w:val="24"/>
          <w:szCs w:val="24"/>
          <w:lang w:val="lt-LT"/>
        </w:rPr>
        <w:t>matematikos mokytojo/konsultanto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64201CA1" w:rsidR="006411B9" w:rsidRPr="00B57501" w:rsidRDefault="006411B9" w:rsidP="00B87F43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943F08">
        <w:rPr>
          <w:sz w:val="24"/>
          <w:szCs w:val="24"/>
          <w:lang w:val="lt-LT"/>
        </w:rPr>
        <w:t>matematikos mokytojo/konsultanto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54D8FA0B" w14:textId="22FD5582" w:rsidR="00CA36D0" w:rsidRPr="00B57501" w:rsidRDefault="00CA36D0" w:rsidP="0063787B">
      <w:pPr>
        <w:ind w:hanging="284"/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780715F8" w14:textId="6B691079" w:rsidR="00E1687E" w:rsidRPr="00E1687E" w:rsidRDefault="00BD6593" w:rsidP="00E1687E">
      <w:pPr>
        <w:pStyle w:val="ListParagraph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117223C" w14:textId="77777777" w:rsidR="00E1687E" w:rsidRPr="00E1687E" w:rsidRDefault="00E1687E" w:rsidP="00E1687E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įgijęs pedagogo kvalifikaciją;</w:t>
      </w:r>
    </w:p>
    <w:p w14:paraId="5EAE3295" w14:textId="5E71AD44" w:rsidR="00C34638" w:rsidRPr="00B20F0B" w:rsidRDefault="00E1687E" w:rsidP="00B20F0B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baigęs matematikos mokytojų rengimo, matematikos ar statistikos studijų programą</w:t>
      </w:r>
      <w:r w:rsidR="008A1585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2C9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(</w:t>
      </w:r>
      <w:r w:rsidR="008A1585" w:rsidRPr="008A1585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</w:t>
      </w:r>
      <w:r w:rsidR="00EA2C9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)</w:t>
      </w: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; </w:t>
      </w:r>
    </w:p>
    <w:p w14:paraId="6CBF6EE4" w14:textId="0F44D50E" w:rsidR="00532C45" w:rsidRPr="0063787B" w:rsidRDefault="4B4BB937" w:rsidP="00E1687E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E1687E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E1687E">
      <w:pPr>
        <w:pStyle w:val="ListParagraph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</w:t>
      </w:r>
      <w:r w:rsidRPr="00B57501">
        <w:rPr>
          <w:sz w:val="24"/>
          <w:szCs w:val="24"/>
          <w:lang w:val="lt-LT"/>
        </w:rPr>
        <w:lastRenderedPageBreak/>
        <w:t>aktais, reguliuojančiais asmens duomenų apsaugą.</w:t>
      </w:r>
    </w:p>
    <w:p w14:paraId="41C5DC4B" w14:textId="188B5A99" w:rsidR="00532C45" w:rsidRPr="00B57501" w:rsidRDefault="00532C45" w:rsidP="00B87F43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B87F43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6FF8A3B4" w:rsidR="00542CAF" w:rsidRPr="00B57501" w:rsidRDefault="4B4BB937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(-iams) jo/jų Individualios veiklos plane (toliau – IVP) numatytas individualias ir / arba grupinio konsultavimo paslaugas (įrašyti konkretų) dalyko mokymo srityje, padeda siekti IVP iškeltų tikslų;</w:t>
      </w:r>
      <w:bookmarkEnd w:id="0"/>
    </w:p>
    <w:p w14:paraId="2F1610DA" w14:textId="535E1855" w:rsidR="003E22CC" w:rsidRPr="00B57501" w:rsidRDefault="00EB3B47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72906CA4" w14:textId="77777777" w:rsidR="00F31E6C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F31E6C">
        <w:rPr>
          <w:b/>
          <w:sz w:val="24"/>
          <w:szCs w:val="24"/>
          <w:lang w:val="lt-LT"/>
        </w:rPr>
        <w:t>SKYRIUS</w:t>
      </w:r>
    </w:p>
    <w:p w14:paraId="05B9AF94" w14:textId="6E4F482A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2F2347E4" w:rsidR="001C13E9" w:rsidRPr="00B57501" w:rsidRDefault="001C13E9" w:rsidP="00B87F43">
      <w:pPr>
        <w:tabs>
          <w:tab w:val="left" w:pos="0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F31E6C">
        <w:rPr>
          <w:sz w:val="24"/>
          <w:szCs w:val="24"/>
          <w:lang w:val="lt-LT"/>
        </w:rPr>
        <w:t>Projekto</w:t>
      </w:r>
      <w:r w:rsidR="00F31E6C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3DB0DD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A6D26"/>
    <w:rsid w:val="000B3325"/>
    <w:rsid w:val="000C7F36"/>
    <w:rsid w:val="000D6A70"/>
    <w:rsid w:val="000E30B6"/>
    <w:rsid w:val="00117F75"/>
    <w:rsid w:val="001267BB"/>
    <w:rsid w:val="001444B1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2582A"/>
    <w:rsid w:val="00247084"/>
    <w:rsid w:val="00251AEE"/>
    <w:rsid w:val="00252EFC"/>
    <w:rsid w:val="00267E31"/>
    <w:rsid w:val="00281EBE"/>
    <w:rsid w:val="002936CB"/>
    <w:rsid w:val="002A6697"/>
    <w:rsid w:val="002B02C5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43E97"/>
    <w:rsid w:val="004455C5"/>
    <w:rsid w:val="00454A14"/>
    <w:rsid w:val="0046070C"/>
    <w:rsid w:val="00494A9B"/>
    <w:rsid w:val="00494B9E"/>
    <w:rsid w:val="004A1783"/>
    <w:rsid w:val="004B6BF2"/>
    <w:rsid w:val="004E24E2"/>
    <w:rsid w:val="004F71FD"/>
    <w:rsid w:val="0050238D"/>
    <w:rsid w:val="00502B30"/>
    <w:rsid w:val="00510541"/>
    <w:rsid w:val="00521FF1"/>
    <w:rsid w:val="00523178"/>
    <w:rsid w:val="005302E5"/>
    <w:rsid w:val="00532C45"/>
    <w:rsid w:val="005400AB"/>
    <w:rsid w:val="00542CAF"/>
    <w:rsid w:val="00545046"/>
    <w:rsid w:val="0055069B"/>
    <w:rsid w:val="00551C6A"/>
    <w:rsid w:val="00560E1B"/>
    <w:rsid w:val="0056354A"/>
    <w:rsid w:val="00566BA0"/>
    <w:rsid w:val="00581579"/>
    <w:rsid w:val="0058309D"/>
    <w:rsid w:val="005C0B01"/>
    <w:rsid w:val="005D3E97"/>
    <w:rsid w:val="005D7D4B"/>
    <w:rsid w:val="005E1DAA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350A"/>
    <w:rsid w:val="00805BDF"/>
    <w:rsid w:val="0080795D"/>
    <w:rsid w:val="0081448F"/>
    <w:rsid w:val="00817144"/>
    <w:rsid w:val="00823491"/>
    <w:rsid w:val="0084037C"/>
    <w:rsid w:val="00851B7B"/>
    <w:rsid w:val="00860658"/>
    <w:rsid w:val="00882188"/>
    <w:rsid w:val="0089080A"/>
    <w:rsid w:val="008A1585"/>
    <w:rsid w:val="008D1E27"/>
    <w:rsid w:val="008D2BBA"/>
    <w:rsid w:val="008D7158"/>
    <w:rsid w:val="008E2ECE"/>
    <w:rsid w:val="008E7C2C"/>
    <w:rsid w:val="00903EE4"/>
    <w:rsid w:val="0094035E"/>
    <w:rsid w:val="00941097"/>
    <w:rsid w:val="00943F08"/>
    <w:rsid w:val="009475A6"/>
    <w:rsid w:val="00954087"/>
    <w:rsid w:val="00970024"/>
    <w:rsid w:val="009B010A"/>
    <w:rsid w:val="009C1353"/>
    <w:rsid w:val="009C59BE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20F0B"/>
    <w:rsid w:val="00B2435A"/>
    <w:rsid w:val="00B26F92"/>
    <w:rsid w:val="00B3067C"/>
    <w:rsid w:val="00B57501"/>
    <w:rsid w:val="00B74FDD"/>
    <w:rsid w:val="00B81468"/>
    <w:rsid w:val="00B87F43"/>
    <w:rsid w:val="00B91483"/>
    <w:rsid w:val="00BA1427"/>
    <w:rsid w:val="00BA25AE"/>
    <w:rsid w:val="00BA2DAB"/>
    <w:rsid w:val="00BA6389"/>
    <w:rsid w:val="00BD544D"/>
    <w:rsid w:val="00BD6593"/>
    <w:rsid w:val="00BE1B62"/>
    <w:rsid w:val="00BF1D1A"/>
    <w:rsid w:val="00BF506E"/>
    <w:rsid w:val="00BF79C5"/>
    <w:rsid w:val="00C1011B"/>
    <w:rsid w:val="00C34638"/>
    <w:rsid w:val="00C37749"/>
    <w:rsid w:val="00C40459"/>
    <w:rsid w:val="00C42956"/>
    <w:rsid w:val="00C63275"/>
    <w:rsid w:val="00C64339"/>
    <w:rsid w:val="00C97890"/>
    <w:rsid w:val="00CA36D0"/>
    <w:rsid w:val="00CC4B0C"/>
    <w:rsid w:val="00CC76F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1687E"/>
    <w:rsid w:val="00E23F0F"/>
    <w:rsid w:val="00E457D5"/>
    <w:rsid w:val="00E56A4E"/>
    <w:rsid w:val="00E62D24"/>
    <w:rsid w:val="00E67346"/>
    <w:rsid w:val="00E71D57"/>
    <w:rsid w:val="00E966F9"/>
    <w:rsid w:val="00EA2C91"/>
    <w:rsid w:val="00EA339A"/>
    <w:rsid w:val="00EA59F0"/>
    <w:rsid w:val="00EB15B3"/>
    <w:rsid w:val="00EB3B47"/>
    <w:rsid w:val="00EC666F"/>
    <w:rsid w:val="00EF6D17"/>
    <w:rsid w:val="00F17770"/>
    <w:rsid w:val="00F31E6C"/>
    <w:rsid w:val="00F62AD8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21,Lentele,Buletai,lp1,Bullet 1,Use Case List Paragraph,List Paragraph111,Paragraph,List Paragraph Red"/>
    <w:basedOn w:val="Normal"/>
    <w:link w:val="ListParagraphChar"/>
    <w:uiPriority w:val="34"/>
    <w:qFormat/>
    <w:rsid w:val="005450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21 Char,Lentele Char,Buletai Char,lp1 Char,Bullet 1 Char,Use Case List Paragraph Char,List Paragraph111 Char"/>
    <w:link w:val="ListParagraph"/>
    <w:uiPriority w:val="34"/>
    <w:rsid w:val="0094035E"/>
  </w:style>
  <w:style w:type="character" w:styleId="CommentReference">
    <w:name w:val="annotation reference"/>
    <w:rsid w:val="0094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035E"/>
  </w:style>
  <w:style w:type="character" w:customStyle="1" w:styleId="CommentTextChar">
    <w:name w:val="Comment Text Char"/>
    <w:basedOn w:val="DefaultParagraphFont"/>
    <w:link w:val="CommentText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BodyText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DefaultParagraphFont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Normal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532C45"/>
  </w:style>
  <w:style w:type="paragraph" w:customStyle="1" w:styleId="elementtoproof">
    <w:name w:val="elementtoproof"/>
    <w:basedOn w:val="Normal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2503</Words>
  <Characters>1428</Characters>
  <Application>Microsoft Office Word</Application>
  <DocSecurity>4</DocSecurity>
  <Lines>11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Bačinskienė</dc:creator>
  <cp:lastModifiedBy>Aušra Kraučionė</cp:lastModifiedBy>
  <cp:revision>2</cp:revision>
  <cp:lastPrinted>2019-12-17T13:52:00Z</cp:lastPrinted>
  <dcterms:created xsi:type="dcterms:W3CDTF">2024-08-23T12:53:00Z</dcterms:created>
  <dcterms:modified xsi:type="dcterms:W3CDTF">2024-08-23T12:53:00Z</dcterms:modified>
</cp:coreProperties>
</file>