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6630" w14:textId="77777777" w:rsidR="00B26960" w:rsidRPr="00AE3A4B" w:rsidRDefault="00B26960">
      <w:pPr>
        <w:jc w:val="center"/>
        <w:rPr>
          <w:rFonts w:ascii="Times New Roman" w:hAnsi="Times New Roman"/>
          <w:b/>
          <w:sz w:val="24"/>
          <w:szCs w:val="24"/>
          <w:shd w:val="clear" w:color="auto" w:fill="FFFF00"/>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73E3EA23" w14:textId="77777777" w:rsidR="00D41326" w:rsidRDefault="00D41326">
      <w:pPr>
        <w:tabs>
          <w:tab w:val="left" w:pos="851"/>
        </w:tabs>
        <w:spacing w:after="0" w:line="100" w:lineRule="atLeast"/>
        <w:jc w:val="both"/>
        <w:rPr>
          <w:rFonts w:ascii="Times New Roman" w:hAnsi="Times New Roman"/>
          <w:b/>
          <w:sz w:val="24"/>
          <w:szCs w:val="24"/>
          <w:lang w:val="en-US"/>
        </w:rPr>
      </w:pPr>
    </w:p>
    <w:p w14:paraId="407D3850" w14:textId="330F7AB9"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73E372D1" w14:textId="77777777" w:rsidR="00C67559" w:rsidRPr="00F5202D" w:rsidRDefault="00C67559" w:rsidP="00C67559">
      <w:pPr>
        <w:pStyle w:val="Sraopastraipa"/>
        <w:numPr>
          <w:ilvl w:val="0"/>
          <w:numId w:val="95"/>
        </w:numPr>
        <w:tabs>
          <w:tab w:val="left" w:pos="426"/>
        </w:tabs>
        <w:ind w:hanging="1364"/>
        <w:jc w:val="both"/>
        <w:rPr>
          <w:rFonts w:ascii="Times New Roman" w:eastAsia="Calibri" w:hAnsi="Times New Roman" w:cs="Times New Roman"/>
          <w:b/>
          <w:sz w:val="24"/>
          <w:szCs w:val="24"/>
          <w:highlight w:val="yellow"/>
          <w:u w:val="single"/>
        </w:rPr>
      </w:pPr>
      <w:r w:rsidRPr="00F5202D">
        <w:rPr>
          <w:rFonts w:ascii="Times New Roman" w:eastAsia="Calibri" w:hAnsi="Times New Roman" w:cs="Times New Roman"/>
          <w:b/>
          <w:sz w:val="24"/>
          <w:szCs w:val="24"/>
          <w:highlight w:val="yellow"/>
          <w:u w:val="single"/>
        </w:rPr>
        <w:t>Travel</w:t>
      </w:r>
    </w:p>
    <w:p w14:paraId="77B8C305" w14:textId="77777777" w:rsidR="00C67559" w:rsidRPr="00883D99" w:rsidRDefault="00C67559" w:rsidP="00C67559">
      <w:pPr>
        <w:pStyle w:val="Sraopastraipa"/>
        <w:tabs>
          <w:tab w:val="left" w:pos="851"/>
        </w:tabs>
        <w:ind w:left="1004"/>
        <w:jc w:val="both"/>
        <w:rPr>
          <w:rFonts w:ascii="Times New Roman" w:hAnsi="Times New Roman" w:cs="Times New Roman"/>
          <w:b/>
          <w:sz w:val="24"/>
          <w:szCs w:val="24"/>
          <w:u w:val="single"/>
          <w:shd w:val="clear" w:color="auto" w:fill="FFFF00"/>
          <w:lang w:val="en-US"/>
        </w:rPr>
      </w:pPr>
    </w:p>
    <w:p w14:paraId="061E83D7" w14:textId="77777777" w:rsidR="00C67559" w:rsidRPr="007F4828" w:rsidRDefault="00C67559" w:rsidP="001A6DB7">
      <w:pPr>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sidR="001F5BC9">
        <w:rPr>
          <w:rFonts w:ascii="Times New Roman" w:hAnsi="Times New Roman"/>
          <w:sz w:val="24"/>
          <w:szCs w:val="24"/>
        </w:rPr>
        <w:t>beneficiaries</w:t>
      </w:r>
      <w:r w:rsidRPr="00224CA0">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224CA0">
        <w:rPr>
          <w:rFonts w:ascii="Times New Roman" w:hAnsi="Times New Roman"/>
          <w:sz w:val="24"/>
          <w:szCs w:val="24"/>
        </w:rPr>
        <w:t>must</w:t>
      </w:r>
      <w:r w:rsidRPr="00224CA0">
        <w:rPr>
          <w:rFonts w:ascii="Times New Roman" w:hAnsi="Times New Roman"/>
          <w:sz w:val="24"/>
          <w:szCs w:val="24"/>
        </w:rPr>
        <w:t xml:space="preserve"> provide the reason for this difference.</w:t>
      </w:r>
    </w:p>
    <w:p w14:paraId="5BB48DAB" w14:textId="12BEE473" w:rsidR="00C67559" w:rsidRPr="00701F15" w:rsidRDefault="00C67559" w:rsidP="001A6DB7">
      <w:pPr>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w:t>
      </w:r>
      <w:r w:rsidR="004D5CB2" w:rsidRPr="00701F15">
        <w:rPr>
          <w:rFonts w:ascii="Times New Roman" w:hAnsi="Times New Roman"/>
          <w:sz w:val="24"/>
          <w:szCs w:val="24"/>
        </w:rPr>
        <w:t>ies</w:t>
      </w:r>
      <w:r w:rsidRPr="00701F15">
        <w:rPr>
          <w:rFonts w:ascii="Times New Roman" w:hAnsi="Times New Roman"/>
          <w:sz w:val="24"/>
          <w:szCs w:val="24"/>
        </w:rPr>
        <w:t xml:space="preserve"> </w:t>
      </w:r>
      <w:r w:rsidR="00342A3B" w:rsidRPr="00701F15">
        <w:rPr>
          <w:rFonts w:ascii="Times New Roman" w:hAnsi="Times New Roman"/>
          <w:sz w:val="24"/>
          <w:szCs w:val="24"/>
        </w:rPr>
        <w:t>must</w:t>
      </w:r>
      <w:r w:rsidRPr="00701F15">
        <w:rPr>
          <w:rFonts w:ascii="Times New Roman" w:hAnsi="Times New Roman"/>
          <w:sz w:val="24"/>
          <w:szCs w:val="24"/>
        </w:rPr>
        <w:t xml:space="preserve"> report that situation accordingly in Mobility Tool+ for each mobility concerned. In this case, no grant support for travel will be awarded.</w:t>
      </w:r>
    </w:p>
    <w:p w14:paraId="31D74CAE" w14:textId="77777777" w:rsidR="00C67559" w:rsidRPr="001A6DB7" w:rsidRDefault="00C67559" w:rsidP="001A6DB7">
      <w:pPr>
        <w:pStyle w:val="Sraopastraipa"/>
        <w:ind w:left="567" w:hanging="567"/>
        <w:rPr>
          <w:rFonts w:ascii="Times New Roman" w:hAnsi="Times New Roman" w:cs="Times New Roman"/>
          <w:sz w:val="24"/>
          <w:szCs w:val="24"/>
        </w:rPr>
      </w:pPr>
    </w:p>
    <w:p w14:paraId="2BA58E85" w14:textId="297DF301" w:rsidR="00C67559" w:rsidRPr="001A6DB7" w:rsidRDefault="00C67559" w:rsidP="001A6DB7">
      <w:pPr>
        <w:tabs>
          <w:tab w:val="left" w:pos="709"/>
        </w:tabs>
        <w:ind w:left="567" w:hanging="567"/>
        <w:jc w:val="both"/>
        <w:rPr>
          <w:rFonts w:ascii="Times New Roman" w:eastAsia="Times New Roman" w:hAnsi="Times New Roman"/>
          <w:color w:val="000000"/>
          <w:sz w:val="24"/>
          <w:szCs w:val="24"/>
          <w:shd w:val="clear" w:color="auto" w:fill="00FFFF"/>
        </w:rPr>
      </w:pPr>
      <w:r w:rsidRPr="001A6DB7">
        <w:rPr>
          <w:rFonts w:ascii="Times New Roman" w:hAnsi="Times New Roman"/>
          <w:sz w:val="24"/>
          <w:szCs w:val="24"/>
        </w:rPr>
        <w:t xml:space="preserve">(a) </w:t>
      </w:r>
      <w:r w:rsidR="001A6DB7">
        <w:rPr>
          <w:rFonts w:ascii="Times New Roman" w:hAnsi="Times New Roman"/>
          <w:sz w:val="24"/>
          <w:szCs w:val="24"/>
        </w:rPr>
        <w:tab/>
      </w:r>
      <w:r w:rsidRPr="001A6DB7">
        <w:rPr>
          <w:rFonts w:ascii="Times New Roman" w:hAnsi="Times New Roman"/>
          <w:sz w:val="24"/>
          <w:szCs w:val="24"/>
        </w:rPr>
        <w:t>Calculation of the grant amount for travel costs</w:t>
      </w:r>
      <w:r w:rsidR="00D41326">
        <w:rPr>
          <w:rFonts w:ascii="Times New Roman" w:hAnsi="Times New Roman"/>
          <w:sz w:val="24"/>
          <w:szCs w:val="24"/>
        </w:rPr>
        <w:t>:</w:t>
      </w:r>
      <w:r w:rsidRPr="001A6DB7">
        <w:rPr>
          <w:rFonts w:ascii="Times New Roman" w:hAnsi="Times New Roman"/>
          <w:sz w:val="24"/>
          <w:szCs w:val="24"/>
        </w:rPr>
        <w:t xml:space="preserve"> the grant amount is calculated by multiplying the number of participants per distance band, </w:t>
      </w:r>
      <w:r w:rsidRPr="00F5202D">
        <w:rPr>
          <w:rFonts w:ascii="Times New Roman" w:hAnsi="Times New Roman"/>
          <w:sz w:val="24"/>
          <w:szCs w:val="24"/>
        </w:rPr>
        <w:t>including accompanying persons,</w:t>
      </w:r>
      <w:r w:rsidRPr="00A45DD6">
        <w:rPr>
          <w:rFonts w:ascii="Times New Roman" w:hAnsi="Times New Roman"/>
          <w:sz w:val="24"/>
          <w:szCs w:val="24"/>
        </w:rPr>
        <w:t xml:space="preserve"> </w:t>
      </w:r>
      <w:r w:rsidRPr="001A6DB7">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14:paraId="44C2F319" w14:textId="77777777" w:rsidR="00C67559" w:rsidRPr="00325585" w:rsidRDefault="00C67559" w:rsidP="001A6DB7">
      <w:pPr>
        <w:pStyle w:val="Sraopastraipa"/>
        <w:ind w:left="567" w:hanging="567"/>
        <w:jc w:val="both"/>
        <w:rPr>
          <w:rFonts w:ascii="Times New Roman" w:eastAsia="Times New Roman" w:hAnsi="Times New Roman" w:cs="Times New Roman"/>
          <w:color w:val="000000"/>
          <w:sz w:val="24"/>
          <w:szCs w:val="24"/>
        </w:rPr>
      </w:pPr>
    </w:p>
    <w:p w14:paraId="05F4EFA9" w14:textId="77777777" w:rsidR="00C67559" w:rsidRPr="004D5CB2" w:rsidRDefault="00C67559" w:rsidP="001A6DB7">
      <w:pPr>
        <w:spacing w:after="0"/>
        <w:ind w:left="567"/>
        <w:jc w:val="both"/>
        <w:rPr>
          <w:rFonts w:ascii="Times New Roman" w:hAnsi="Times New Roman"/>
          <w:sz w:val="24"/>
          <w:szCs w:val="24"/>
        </w:rPr>
      </w:pPr>
      <w:r w:rsidRPr="001A6DB7">
        <w:rPr>
          <w:rFonts w:ascii="Times New Roman" w:hAnsi="Times New Roman"/>
          <w:sz w:val="24"/>
          <w:szCs w:val="24"/>
        </w:rPr>
        <w:lastRenderedPageBreak/>
        <w:t>For the establishment of the distance band applicable, the beneficiar</w:t>
      </w:r>
      <w:r w:rsidR="001F5BC9">
        <w:rPr>
          <w:rFonts w:ascii="Times New Roman" w:hAnsi="Times New Roman"/>
          <w:sz w:val="24"/>
          <w:szCs w:val="24"/>
        </w:rPr>
        <w:t>ies</w:t>
      </w:r>
      <w:r w:rsidRPr="001F5BC9">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4D5CB2">
        <w:rPr>
          <w:rFonts w:ascii="Times New Roman" w:hAnsi="Times New Roman"/>
          <w:sz w:val="24"/>
          <w:szCs w:val="24"/>
        </w:rPr>
        <w:t>must</w:t>
      </w:r>
      <w:r w:rsidRPr="004D5CB2">
        <w:rPr>
          <w:rFonts w:ascii="Times New Roman" w:hAnsi="Times New Roman"/>
          <w:sz w:val="24"/>
          <w:szCs w:val="24"/>
        </w:rPr>
        <w:t xml:space="preserve"> indicate the distance of a one-way travel using the on-line distance calculator available on the Commission's website at:</w:t>
      </w:r>
    </w:p>
    <w:p w14:paraId="209AD740" w14:textId="77777777" w:rsidR="00C67559" w:rsidRPr="00AE3A4B" w:rsidRDefault="00076BDA" w:rsidP="001A6DB7">
      <w:pPr>
        <w:spacing w:after="0"/>
        <w:ind w:left="567"/>
        <w:jc w:val="both"/>
        <w:rPr>
          <w:rFonts w:ascii="Times New Roman" w:hAnsi="Times New Roman"/>
          <w:sz w:val="24"/>
          <w:szCs w:val="24"/>
        </w:rPr>
      </w:pPr>
      <w:hyperlink r:id="rId12" w:history="1">
        <w:r w:rsidR="00C67559" w:rsidRPr="001A6DB7">
          <w:rPr>
            <w:rStyle w:val="Hipersaitas"/>
            <w:rFonts w:ascii="Times New Roman" w:hAnsi="Times New Roman"/>
            <w:sz w:val="24"/>
            <w:szCs w:val="24"/>
          </w:rPr>
          <w:t>http://ec.europa.eu/programmes/erasmus-plus/tools/distance_en.htm</w:t>
        </w:r>
      </w:hyperlink>
      <w:r w:rsidR="009775E3" w:rsidRPr="00AE3A4B">
        <w:rPr>
          <w:rFonts w:ascii="Times New Roman" w:hAnsi="Times New Roman"/>
          <w:sz w:val="24"/>
          <w:szCs w:val="24"/>
        </w:rPr>
        <w:t>.</w:t>
      </w:r>
    </w:p>
    <w:p w14:paraId="6F407635" w14:textId="77777777" w:rsidR="009775E3" w:rsidRPr="00883D99" w:rsidRDefault="009775E3" w:rsidP="001A6DB7">
      <w:pPr>
        <w:spacing w:after="0"/>
        <w:ind w:left="567" w:hanging="567"/>
        <w:jc w:val="both"/>
        <w:rPr>
          <w:rFonts w:ascii="Times New Roman" w:hAnsi="Times New Roman"/>
          <w:sz w:val="24"/>
          <w:szCs w:val="24"/>
        </w:rPr>
      </w:pPr>
    </w:p>
    <w:p w14:paraId="1703C5CB" w14:textId="77777777" w:rsidR="00C67559" w:rsidRPr="0001064F" w:rsidRDefault="00C67559" w:rsidP="001A6DB7">
      <w:pPr>
        <w:spacing w:after="0"/>
        <w:ind w:left="567"/>
        <w:jc w:val="both"/>
        <w:rPr>
          <w:rFonts w:ascii="Times New Roman" w:hAnsi="Times New Roman"/>
          <w:sz w:val="24"/>
          <w:szCs w:val="24"/>
        </w:rPr>
      </w:pPr>
      <w:r w:rsidRPr="0001064F">
        <w:rPr>
          <w:rFonts w:ascii="Times New Roman" w:hAnsi="Times New Roman"/>
          <w:sz w:val="24"/>
          <w:szCs w:val="24"/>
        </w:rPr>
        <w:t xml:space="preserve">The </w:t>
      </w:r>
      <w:r w:rsidR="004D5CB2" w:rsidRPr="0001064F">
        <w:rPr>
          <w:rFonts w:ascii="Times New Roman" w:hAnsi="Times New Roman"/>
          <w:sz w:val="24"/>
          <w:szCs w:val="24"/>
        </w:rPr>
        <w:t>beneficiar</w:t>
      </w:r>
      <w:r w:rsidR="004D5CB2">
        <w:rPr>
          <w:rFonts w:ascii="Times New Roman" w:hAnsi="Times New Roman"/>
          <w:sz w:val="24"/>
          <w:szCs w:val="24"/>
        </w:rPr>
        <w:t>ies</w:t>
      </w:r>
      <w:r w:rsidR="004D5CB2" w:rsidRPr="0001064F">
        <w:rPr>
          <w:rFonts w:ascii="Times New Roman" w:hAnsi="Times New Roman"/>
          <w:sz w:val="24"/>
          <w:szCs w:val="24"/>
        </w:rPr>
        <w:t xml:space="preserve"> </w:t>
      </w:r>
      <w:r w:rsidRPr="0001064F">
        <w:rPr>
          <w:rFonts w:ascii="Times New Roman" w:hAnsi="Times New Roman"/>
          <w:sz w:val="24"/>
          <w:szCs w:val="24"/>
        </w:rPr>
        <w:t xml:space="preserve">will calculate in Mobility Tool+ the grant amounts for travel based on the applicable unit contribution rates. </w:t>
      </w:r>
    </w:p>
    <w:p w14:paraId="06C7BE03" w14:textId="77777777" w:rsidR="00C67559" w:rsidRPr="00224CA0" w:rsidRDefault="00C67559" w:rsidP="001A6DB7">
      <w:pPr>
        <w:spacing w:after="0"/>
        <w:ind w:left="567" w:hanging="567"/>
        <w:jc w:val="both"/>
        <w:rPr>
          <w:rFonts w:ascii="Times New Roman" w:hAnsi="Times New Roman"/>
          <w:sz w:val="24"/>
          <w:szCs w:val="24"/>
        </w:rPr>
      </w:pPr>
    </w:p>
    <w:p w14:paraId="37D13495" w14:textId="024E4903" w:rsidR="00C67559" w:rsidRPr="001A6DB7" w:rsidRDefault="00C67559" w:rsidP="001A6DB7">
      <w:pPr>
        <w:numPr>
          <w:ilvl w:val="0"/>
          <w:numId w:val="96"/>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undertaken the activity.</w:t>
      </w:r>
    </w:p>
    <w:p w14:paraId="4394DA06" w14:textId="690A6A7E" w:rsidR="00B26960" w:rsidRDefault="00D41326" w:rsidP="002B17AF">
      <w:pPr>
        <w:numPr>
          <w:ilvl w:val="0"/>
          <w:numId w:val="96"/>
        </w:numPr>
        <w:tabs>
          <w:tab w:val="left" w:pos="567"/>
        </w:tabs>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Supporting documents</w:t>
      </w:r>
      <w:r w:rsidR="00B26960" w:rsidRPr="001A6DB7">
        <w:rPr>
          <w:rFonts w:ascii="Times New Roman" w:eastAsia="Times New Roman" w:hAnsi="Times New Roman"/>
          <w:color w:val="000000"/>
          <w:sz w:val="24"/>
          <w:szCs w:val="24"/>
        </w:rPr>
        <w:t xml:space="preserve">: </w:t>
      </w:r>
      <w:r w:rsidR="00B11DA6">
        <w:rPr>
          <w:rFonts w:ascii="Times New Roman" w:eastAsia="Times New Roman" w:hAnsi="Times New Roman"/>
          <w:color w:val="000000"/>
          <w:sz w:val="24"/>
          <w:szCs w:val="24"/>
        </w:rPr>
        <w:t>P</w:t>
      </w:r>
      <w:r w:rsidR="00B26960" w:rsidRPr="001A6DB7">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Pr>
          <w:rFonts w:ascii="Times New Roman" w:hAnsi="Times New Roman"/>
          <w:sz w:val="24"/>
          <w:szCs w:val="24"/>
        </w:rPr>
        <w:t>.</w:t>
      </w:r>
    </w:p>
    <w:p w14:paraId="407CE821" w14:textId="77777777" w:rsidR="00AB7AA6" w:rsidRPr="00AB7AA6" w:rsidRDefault="00AB7AA6" w:rsidP="00963B70">
      <w:pPr>
        <w:tabs>
          <w:tab w:val="left" w:pos="567"/>
        </w:tabs>
        <w:spacing w:after="0" w:line="100" w:lineRule="atLeast"/>
        <w:ind w:left="720"/>
        <w:jc w:val="both"/>
        <w:rPr>
          <w:rFonts w:ascii="Times New Roman" w:hAnsi="Times New Roman"/>
          <w:b/>
          <w:sz w:val="24"/>
          <w:szCs w:val="24"/>
        </w:rPr>
      </w:pPr>
    </w:p>
    <w:p w14:paraId="096217B6" w14:textId="5BA46008" w:rsidR="002C24B9" w:rsidRPr="00516423" w:rsidRDefault="002C24B9" w:rsidP="00D41326">
      <w:pPr>
        <w:ind w:left="709" w:hanging="709"/>
        <w:jc w:val="both"/>
        <w:rPr>
          <w:rFonts w:ascii="Times New Roman" w:hAnsi="Times New Roman"/>
          <w:sz w:val="24"/>
          <w:szCs w:val="24"/>
        </w:rPr>
      </w:pPr>
      <w:r w:rsidRPr="00516423">
        <w:rPr>
          <w:rFonts w:ascii="Times New Roman" w:hAnsi="Times New Roman"/>
          <w:sz w:val="24"/>
          <w:szCs w:val="24"/>
        </w:rPr>
        <w:t xml:space="preserve">(d)    Reporting: </w:t>
      </w:r>
    </w:p>
    <w:p w14:paraId="1334496F" w14:textId="33A7D1C3" w:rsidR="002C24B9" w:rsidRPr="001B7BCF" w:rsidRDefault="002C24B9" w:rsidP="00D41326">
      <w:pPr>
        <w:pStyle w:val="Sraopastraipa"/>
        <w:ind w:left="567"/>
        <w:jc w:val="both"/>
        <w:rPr>
          <w:rFonts w:ascii="Times New Roman" w:hAnsi="Times New Roman"/>
          <w:sz w:val="24"/>
          <w:szCs w:val="24"/>
        </w:rPr>
      </w:pPr>
      <w:r w:rsidRPr="001B7BCF">
        <w:rPr>
          <w:rFonts w:ascii="Times New Roman" w:hAnsi="Times New Roman"/>
          <w:sz w:val="24"/>
          <w:szCs w:val="24"/>
        </w:rPr>
        <w:t xml:space="preserve">In case of Advance Planning Visits </w:t>
      </w:r>
      <w:r>
        <w:rPr>
          <w:rFonts w:ascii="Times New Roman" w:hAnsi="Times New Roman"/>
          <w:sz w:val="24"/>
          <w:szCs w:val="24"/>
        </w:rPr>
        <w:t>that did not lead to a Youth Exchange activity</w:t>
      </w:r>
      <w:r w:rsidRPr="001B7BCF">
        <w:rPr>
          <w:rFonts w:ascii="Times New Roman" w:hAnsi="Times New Roman"/>
          <w:sz w:val="24"/>
          <w:szCs w:val="24"/>
        </w:rPr>
        <w:t xml:space="preserve">, the beneficiary shall submit a justification to the National Agency explaining the reasons for not implementing </w:t>
      </w:r>
      <w:r>
        <w:rPr>
          <w:rFonts w:ascii="Times New Roman" w:hAnsi="Times New Roman"/>
          <w:sz w:val="24"/>
          <w:szCs w:val="24"/>
        </w:rPr>
        <w:t>the Youth Exchange</w:t>
      </w:r>
      <w:r w:rsidRPr="001B7BCF">
        <w:rPr>
          <w:rFonts w:ascii="Times New Roman" w:hAnsi="Times New Roman"/>
          <w:sz w:val="24"/>
          <w:szCs w:val="24"/>
        </w:rPr>
        <w:t>. As derogation from Article III o</w:t>
      </w:r>
      <w:r w:rsidR="006A0F8D">
        <w:rPr>
          <w:rFonts w:ascii="Times New Roman" w:hAnsi="Times New Roman"/>
          <w:sz w:val="24"/>
          <w:szCs w:val="24"/>
        </w:rPr>
        <w:t>f</w:t>
      </w:r>
      <w:r w:rsidRPr="001B7BCF">
        <w:rPr>
          <w:rFonts w:ascii="Times New Roman" w:hAnsi="Times New Roman"/>
          <w:sz w:val="24"/>
          <w:szCs w:val="24"/>
        </w:rPr>
        <w:t xml:space="preserve"> this Annex, the National Agency may approve such a request based on this justification.</w:t>
      </w:r>
    </w:p>
    <w:p w14:paraId="18DA4B73" w14:textId="77777777" w:rsidR="002C24B9" w:rsidRPr="001B7BCF" w:rsidRDefault="002C24B9" w:rsidP="000923A0">
      <w:pPr>
        <w:pStyle w:val="Sraopastraipa"/>
        <w:jc w:val="both"/>
        <w:rPr>
          <w:rFonts w:ascii="Times New Roman" w:hAnsi="Times New Roman"/>
          <w:sz w:val="24"/>
          <w:szCs w:val="24"/>
        </w:rPr>
      </w:pPr>
    </w:p>
    <w:p w14:paraId="34DDD967" w14:textId="77777777" w:rsidR="00B26960" w:rsidRPr="00963B70" w:rsidRDefault="00B26960">
      <w:pPr>
        <w:tabs>
          <w:tab w:val="left" w:pos="851"/>
        </w:tabs>
        <w:spacing w:after="0" w:line="100" w:lineRule="atLeast"/>
        <w:jc w:val="both"/>
        <w:rPr>
          <w:rFonts w:ascii="Times New Roman" w:hAnsi="Times New Roman"/>
          <w:sz w:val="24"/>
          <w:u w:val="single"/>
          <w:shd w:val="clear" w:color="auto" w:fill="FFFF00"/>
        </w:rPr>
      </w:pPr>
    </w:p>
    <w:p w14:paraId="0210F919" w14:textId="09E4A3F7" w:rsidR="00B26960" w:rsidRDefault="00B26960">
      <w:pPr>
        <w:tabs>
          <w:tab w:val="left" w:pos="851"/>
        </w:tabs>
        <w:spacing w:after="0" w:line="100" w:lineRule="atLeast"/>
        <w:jc w:val="both"/>
        <w:rPr>
          <w:rFonts w:ascii="Times New Roman" w:hAnsi="Times New Roman"/>
          <w:b/>
          <w:sz w:val="24"/>
          <w:szCs w:val="24"/>
          <w:u w:val="single"/>
          <w:shd w:val="clear" w:color="auto" w:fill="FFFF00"/>
        </w:rPr>
      </w:pPr>
      <w:r w:rsidRPr="00325585">
        <w:rPr>
          <w:rFonts w:ascii="Times New Roman" w:hAnsi="Times New Roman"/>
          <w:b/>
          <w:sz w:val="24"/>
          <w:szCs w:val="24"/>
          <w:u w:val="single"/>
          <w:shd w:val="clear" w:color="auto" w:fill="FFFF00"/>
        </w:rPr>
        <w:t>C. Organisational support</w:t>
      </w:r>
    </w:p>
    <w:p w14:paraId="2372F960" w14:textId="77777777" w:rsidR="00D41326" w:rsidRPr="00B203B5" w:rsidRDefault="00D41326">
      <w:pPr>
        <w:tabs>
          <w:tab w:val="left" w:pos="851"/>
        </w:tabs>
        <w:spacing w:after="0" w:line="100" w:lineRule="atLeast"/>
        <w:jc w:val="both"/>
        <w:rPr>
          <w:rFonts w:ascii="Times New Roman" w:hAnsi="Times New Roman"/>
          <w:b/>
          <w:sz w:val="24"/>
          <w:szCs w:val="24"/>
        </w:rPr>
      </w:pPr>
    </w:p>
    <w:p w14:paraId="1F16D5A4" w14:textId="77777777" w:rsidR="00B26960" w:rsidRPr="007F4828" w:rsidRDefault="00B26960" w:rsidP="00731673">
      <w:pPr>
        <w:numPr>
          <w:ilvl w:val="0"/>
          <w:numId w:val="162"/>
        </w:numPr>
        <w:spacing w:line="100" w:lineRule="atLeast"/>
        <w:ind w:left="567" w:hanging="567"/>
        <w:jc w:val="both"/>
        <w:rPr>
          <w:rFonts w:ascii="Times New Roman" w:hAnsi="Times New Roman"/>
          <w:sz w:val="24"/>
          <w:szCs w:val="24"/>
        </w:rPr>
      </w:pPr>
      <w:r w:rsidRPr="00224CA0">
        <w:rPr>
          <w:rFonts w:ascii="Times New Roman" w:hAnsi="Times New Roman"/>
          <w:sz w:val="24"/>
          <w:szCs w:val="24"/>
        </w:rPr>
        <w:t>Calculation of the grant amount: the grant amount is calculated by multiplying the number of days per participant by the unit contribution applicable per day for the receiving count</w:t>
      </w:r>
      <w:r w:rsidRPr="007F4828">
        <w:rPr>
          <w:rFonts w:ascii="Times New Roman" w:hAnsi="Times New Roman"/>
          <w:sz w:val="24"/>
          <w:szCs w:val="24"/>
        </w:rPr>
        <w:t xml:space="preserve">ry concerned as specified in Annex IV of the Agreement. One travel day before the activity and one travel day following the activity can be included for the calculation of the organisational support if relevant. </w:t>
      </w:r>
    </w:p>
    <w:p w14:paraId="4A0EC114" w14:textId="0D860319" w:rsidR="00F32A71" w:rsidRPr="001A6DB7" w:rsidRDefault="00B26960" w:rsidP="00F70C1D">
      <w:pPr>
        <w:tabs>
          <w:tab w:val="left" w:pos="851"/>
        </w:tabs>
        <w:ind w:left="567"/>
        <w:jc w:val="both"/>
        <w:rPr>
          <w:rFonts w:ascii="Times New Roman" w:hAnsi="Times New Roman"/>
          <w:sz w:val="24"/>
          <w:szCs w:val="24"/>
        </w:rPr>
      </w:pPr>
      <w:r w:rsidRPr="004D5CB2">
        <w:rPr>
          <w:rFonts w:ascii="Times New Roman" w:hAnsi="Times New Roman"/>
          <w:sz w:val="24"/>
          <w:szCs w:val="24"/>
        </w:rPr>
        <w:t>For Projects for which t</w:t>
      </w:r>
      <w:r w:rsidRPr="001F5BC9">
        <w:rPr>
          <w:rFonts w:ascii="Times New Roman" w:hAnsi="Times New Roman"/>
          <w:sz w:val="24"/>
          <w:szCs w:val="24"/>
        </w:rPr>
        <w:t>he coordinator is a public body at regional or national level, an association of regions, a European Grouping of territorial Cooperation or a profit-making body active in Corporate Social Res</w:t>
      </w:r>
      <w:r w:rsidRPr="001A6DB7">
        <w:rPr>
          <w:rFonts w:ascii="Times New Roman" w:hAnsi="Times New Roman"/>
          <w:sz w:val="24"/>
          <w:szCs w:val="24"/>
        </w:rPr>
        <w:t>ponsibility, the unit contributions specified in Annex IV are reduced by 50%.</w:t>
      </w:r>
    </w:p>
    <w:p w14:paraId="5C258533" w14:textId="538CBFFF" w:rsidR="00B26960" w:rsidRPr="00224CA0" w:rsidRDefault="00B26960" w:rsidP="00D41326">
      <w:pPr>
        <w:numPr>
          <w:ilvl w:val="0"/>
          <w:numId w:val="162"/>
        </w:numPr>
        <w:spacing w:line="100" w:lineRule="atLeast"/>
        <w:ind w:left="567" w:hanging="567"/>
        <w:jc w:val="both"/>
        <w:rPr>
          <w:rFonts w:ascii="Times New Roman" w:hAnsi="Times New Roman"/>
          <w:sz w:val="24"/>
          <w:szCs w:val="24"/>
          <w:shd w:val="clear" w:color="auto" w:fill="00FFFF"/>
        </w:rPr>
      </w:pPr>
      <w:r w:rsidRPr="00883D99">
        <w:rPr>
          <w:rFonts w:ascii="Times New Roman" w:hAnsi="Times New Roman"/>
          <w:sz w:val="24"/>
          <w:szCs w:val="24"/>
        </w:rPr>
        <w:t>Triggering event: the event that conditions the entitlement to the grant is that the participant has actually undertaken the a</w:t>
      </w:r>
      <w:r w:rsidRPr="0001064F">
        <w:rPr>
          <w:rFonts w:ascii="Times New Roman" w:hAnsi="Times New Roman"/>
          <w:sz w:val="24"/>
          <w:szCs w:val="24"/>
        </w:rPr>
        <w:t>ctivity</w:t>
      </w:r>
      <w:r w:rsidR="00D41326">
        <w:rPr>
          <w:rFonts w:ascii="Times New Roman" w:hAnsi="Times New Roman"/>
          <w:sz w:val="24"/>
          <w:szCs w:val="24"/>
        </w:rPr>
        <w:t>.</w:t>
      </w:r>
    </w:p>
    <w:p w14:paraId="4722F593" w14:textId="4D07C37D" w:rsidR="00B26960" w:rsidRPr="001A6DB7" w:rsidRDefault="00B26960" w:rsidP="00D41326">
      <w:pPr>
        <w:numPr>
          <w:ilvl w:val="0"/>
          <w:numId w:val="162"/>
        </w:numPr>
        <w:spacing w:line="100" w:lineRule="atLeast"/>
        <w:ind w:left="567" w:hanging="567"/>
        <w:jc w:val="both"/>
        <w:rPr>
          <w:rFonts w:ascii="Times New Roman" w:hAnsi="Times New Roman"/>
          <w:sz w:val="24"/>
          <w:szCs w:val="24"/>
          <w:shd w:val="clear" w:color="auto" w:fill="00FFFF"/>
        </w:rPr>
      </w:pPr>
      <w:r w:rsidRPr="001F5BC9">
        <w:rPr>
          <w:rFonts w:ascii="Times New Roman" w:hAnsi="Times New Roman"/>
          <w:sz w:val="24"/>
          <w:szCs w:val="24"/>
        </w:rPr>
        <w:t xml:space="preserve">Supporting documents: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D41326">
        <w:rPr>
          <w:rFonts w:ascii="Times New Roman" w:hAnsi="Times New Roman"/>
          <w:color w:val="000000"/>
          <w:sz w:val="24"/>
          <w:szCs w:val="24"/>
        </w:rPr>
        <w:t>.</w:t>
      </w:r>
    </w:p>
    <w:p w14:paraId="7D01B6B5" w14:textId="77777777" w:rsidR="00B26960" w:rsidRPr="00F70C1D" w:rsidRDefault="00B26960">
      <w:pPr>
        <w:pStyle w:val="Sraopastraipa"/>
        <w:tabs>
          <w:tab w:val="left" w:pos="567"/>
        </w:tabs>
        <w:ind w:left="2160"/>
        <w:jc w:val="both"/>
        <w:rPr>
          <w:rFonts w:ascii="Times New Roman" w:hAnsi="Times New Roman" w:cs="Times New Roman"/>
          <w:sz w:val="24"/>
          <w:szCs w:val="24"/>
        </w:rPr>
      </w:pPr>
    </w:p>
    <w:p w14:paraId="08D242C6" w14:textId="6D46BB0F" w:rsidR="00537E4E" w:rsidRDefault="00537E4E" w:rsidP="00537E4E">
      <w:pPr>
        <w:ind w:left="567" w:hanging="567"/>
        <w:jc w:val="both"/>
        <w:rPr>
          <w:rFonts w:ascii="Times New Roman" w:hAnsi="Times New Roman"/>
          <w:sz w:val="24"/>
          <w:szCs w:val="24"/>
        </w:rPr>
      </w:pPr>
      <w:r>
        <w:rPr>
          <w:rFonts w:ascii="Times New Roman" w:hAnsi="Times New Roman"/>
          <w:sz w:val="24"/>
          <w:szCs w:val="24"/>
        </w:rPr>
        <w:lastRenderedPageBreak/>
        <w:t xml:space="preserve">(d)    Reporting: </w:t>
      </w:r>
      <w:r>
        <w:rPr>
          <w:rFonts w:ascii="Times New Roman" w:hAnsi="Times New Roman"/>
          <w:b/>
          <w:sz w:val="24"/>
          <w:szCs w:val="24"/>
        </w:rPr>
        <w:t xml:space="preserve"> </w:t>
      </w:r>
    </w:p>
    <w:p w14:paraId="2828CAF0" w14:textId="75D8F5AD"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Pr>
          <w:rFonts w:ascii="Times New Roman" w:hAnsi="Times New Roman"/>
          <w:sz w:val="24"/>
          <w:szCs w:val="24"/>
        </w:rPr>
        <w:t>[</w:t>
      </w:r>
      <w:r w:rsidRPr="00AE0B85">
        <w:rPr>
          <w:rFonts w:ascii="Times New Roman" w:hAnsi="Times New Roman"/>
          <w:sz w:val="24"/>
          <w:szCs w:val="24"/>
          <w:highlight w:val="cyan"/>
        </w:rPr>
        <w:t xml:space="preserve">For </w:t>
      </w:r>
      <w:r>
        <w:rPr>
          <w:rFonts w:ascii="Times New Roman" w:hAnsi="Times New Roman"/>
          <w:sz w:val="24"/>
          <w:szCs w:val="24"/>
          <w:highlight w:val="cyan"/>
        </w:rPr>
        <w:t>Youth E</w:t>
      </w:r>
      <w:r w:rsidRPr="00AE0B85">
        <w:rPr>
          <w:rFonts w:ascii="Times New Roman" w:hAnsi="Times New Roman"/>
          <w:sz w:val="24"/>
          <w:szCs w:val="24"/>
          <w:highlight w:val="cyan"/>
        </w:rPr>
        <w:t xml:space="preserve">xchanges and </w:t>
      </w:r>
      <w:r>
        <w:rPr>
          <w:rFonts w:ascii="Times New Roman" w:hAnsi="Times New Roman"/>
          <w:sz w:val="24"/>
          <w:szCs w:val="24"/>
          <w:highlight w:val="cyan"/>
        </w:rPr>
        <w:t>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Pr="00464259">
        <w:rPr>
          <w:rFonts w:ascii="Times New Roman" w:hAnsi="Times New Roman"/>
          <w:sz w:val="24"/>
          <w:szCs w:val="24"/>
        </w:rPr>
        <w:t>:</w:t>
      </w:r>
      <w:r w:rsidRPr="00D878F1">
        <w:rPr>
          <w:rFonts w:ascii="Times New Roman" w:hAnsi="Times New Roman"/>
          <w:sz w:val="24"/>
          <w:szCs w:val="24"/>
        </w:rPr>
        <w:t xml:space="preserve"> </w:t>
      </w:r>
      <w:r w:rsidRPr="004E586D">
        <w:rPr>
          <w:rFonts w:ascii="Times New Roman" w:hAnsi="Times New Roman"/>
          <w:sz w:val="24"/>
          <w:szCs w:val="24"/>
        </w:rPr>
        <w:t xml:space="preserve">The coordinator </w:t>
      </w:r>
      <w:r>
        <w:rPr>
          <w:rFonts w:ascii="Times New Roman" w:hAnsi="Times New Roman"/>
          <w:sz w:val="24"/>
          <w:szCs w:val="24"/>
        </w:rPr>
        <w:t>must</w:t>
      </w:r>
      <w:r w:rsidRPr="004E586D">
        <w:rPr>
          <w:rFonts w:ascii="Times New Roman" w:hAnsi="Times New Roman"/>
          <w:sz w:val="24"/>
          <w:szCs w:val="24"/>
        </w:rPr>
        <w:t xml:space="preserve"> report in</w:t>
      </w:r>
      <w:r>
        <w:rPr>
          <w:rFonts w:ascii="Times New Roman" w:hAnsi="Times New Roman"/>
          <w:sz w:val="24"/>
          <w:szCs w:val="24"/>
        </w:rPr>
        <w:t xml:space="preserve"> Mobility Tool+ on all mobilities realised under the project, including the ones from the host country.]</w:t>
      </w:r>
    </w:p>
    <w:p w14:paraId="3FFE33C7" w14:textId="2E4DA2CB"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sidDel="00351A0A">
        <w:rPr>
          <w:rFonts w:ascii="Times New Roman" w:hAnsi="Times New Roman"/>
          <w:sz w:val="24"/>
          <w:szCs w:val="24"/>
        </w:rPr>
        <w:t xml:space="preserve"> </w:t>
      </w:r>
      <w:r w:rsidRPr="00464259">
        <w:rPr>
          <w:rFonts w:ascii="Times New Roman" w:hAnsi="Times New Roman"/>
          <w:sz w:val="24"/>
          <w:szCs w:val="24"/>
        </w:rPr>
        <w:t>[</w:t>
      </w:r>
      <w:r>
        <w:rPr>
          <w:rFonts w:ascii="Times New Roman" w:hAnsi="Times New Roman"/>
          <w:sz w:val="24"/>
          <w:szCs w:val="24"/>
          <w:highlight w:val="cyan"/>
        </w:rPr>
        <w:t>For 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00CD05E5">
        <w:rPr>
          <w:rFonts w:ascii="Times New Roman" w:hAnsi="Times New Roman"/>
          <w:sz w:val="24"/>
          <w:szCs w:val="24"/>
        </w:rPr>
        <w:t>:</w:t>
      </w:r>
      <w:r w:rsidR="00AC7107">
        <w:rPr>
          <w:rFonts w:ascii="Times New Roman" w:hAnsi="Times New Roman"/>
          <w:sz w:val="24"/>
          <w:szCs w:val="24"/>
        </w:rPr>
        <w:t xml:space="preserve"> </w:t>
      </w:r>
      <w:r w:rsidRPr="00D878F1">
        <w:rPr>
          <w:rFonts w:ascii="Times New Roman" w:hAnsi="Times New Roman"/>
          <w:sz w:val="24"/>
          <w:szCs w:val="24"/>
        </w:rPr>
        <w:t xml:space="preserve">Participants in the activities </w:t>
      </w:r>
      <w:r w:rsidR="002C24B9">
        <w:rPr>
          <w:rFonts w:ascii="Times New Roman" w:hAnsi="Times New Roman"/>
          <w:sz w:val="24"/>
          <w:szCs w:val="24"/>
        </w:rPr>
        <w:t>should</w:t>
      </w:r>
      <w:r w:rsidR="002C24B9" w:rsidRPr="00D878F1">
        <w:rPr>
          <w:rFonts w:ascii="Times New Roman" w:hAnsi="Times New Roman"/>
          <w:sz w:val="24"/>
          <w:szCs w:val="24"/>
        </w:rPr>
        <w:t xml:space="preserve"> </w:t>
      </w:r>
      <w:r w:rsidRPr="00D878F1">
        <w:rPr>
          <w:rFonts w:ascii="Times New Roman" w:hAnsi="Times New Roman"/>
          <w:sz w:val="24"/>
          <w:szCs w:val="24"/>
        </w:rPr>
        <w:t>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r w:rsidRPr="00D878F1">
        <w:rPr>
          <w:rFonts w:ascii="Times New Roman" w:hAnsi="Times New Roman"/>
          <w:sz w:val="24"/>
          <w:szCs w:val="24"/>
        </w:rPr>
        <w:t xml:space="preserve"> </w:t>
      </w:r>
    </w:p>
    <w:p w14:paraId="161523ED" w14:textId="6BF2F9D7" w:rsidR="00537E4E"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464259">
        <w:rPr>
          <w:rFonts w:ascii="Times New Roman" w:hAnsi="Times New Roman"/>
          <w:sz w:val="24"/>
          <w:szCs w:val="24"/>
        </w:rPr>
        <w:t>[</w:t>
      </w: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sidR="002C24B9">
        <w:rPr>
          <w:rFonts w:ascii="Times New Roman" w:hAnsi="Times New Roman"/>
          <w:sz w:val="24"/>
          <w:szCs w:val="24"/>
        </w:rPr>
        <w:t>should</w:t>
      </w:r>
      <w:r w:rsidR="002C24B9" w:rsidRPr="00D878F1">
        <w:rPr>
          <w:rFonts w:ascii="Times New Roman" w:hAnsi="Times New Roman"/>
          <w:sz w:val="24"/>
          <w:szCs w:val="24"/>
        </w:rPr>
        <w:t xml:space="preserve"> </w:t>
      </w:r>
      <w:r w:rsidRPr="00D878F1">
        <w:rPr>
          <w:rFonts w:ascii="Times New Roman" w:hAnsi="Times New Roman"/>
          <w:sz w:val="24"/>
          <w:szCs w:val="24"/>
        </w:rPr>
        <w:t>report on the activities via an on-line questionnaire providing their feedback on factual and qualitative elements of the activity period, as w</w:t>
      </w:r>
      <w:bookmarkStart w:id="0" w:name="_GoBack"/>
      <w:bookmarkEnd w:id="0"/>
      <w:r w:rsidRPr="00D878F1">
        <w:rPr>
          <w:rFonts w:ascii="Times New Roman" w:hAnsi="Times New Roman"/>
          <w:sz w:val="24"/>
          <w:szCs w:val="24"/>
        </w:rPr>
        <w:t>ell as of its preparation and follow-up.</w:t>
      </w:r>
      <w:r>
        <w:rPr>
          <w:rFonts w:ascii="Times New Roman" w:hAnsi="Times New Roman"/>
          <w:sz w:val="24"/>
          <w:szCs w:val="24"/>
        </w:rPr>
        <w:t>]</w:t>
      </w:r>
    </w:p>
    <w:p w14:paraId="440FEB47" w14:textId="77777777" w:rsidR="00B26960" w:rsidRPr="00B203B5" w:rsidRDefault="00B26960">
      <w:pPr>
        <w:pStyle w:val="Sraopastraipa"/>
        <w:ind w:left="1440"/>
        <w:jc w:val="both"/>
        <w:rPr>
          <w:rFonts w:ascii="Times New Roman" w:hAnsi="Times New Roman" w:cs="Times New Roman"/>
          <w:sz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0C4C772A" w14:textId="77777777" w:rsidR="00B26960" w:rsidRPr="00780C6B" w:rsidRDefault="00B26960"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780C6B">
        <w:rPr>
          <w:rFonts w:ascii="Times New Roman" w:hAnsi="Times New Roman"/>
          <w:b/>
          <w:sz w:val="24"/>
          <w:szCs w:val="24"/>
          <w:highlight w:val="yellow"/>
          <w:u w:val="single"/>
          <w:shd w:val="clear" w:color="auto" w:fill="FFFF00"/>
          <w:lang w:val="en-US"/>
        </w:rPr>
        <w:t>Special needs support</w:t>
      </w:r>
    </w:p>
    <w:p w14:paraId="6C843563" w14:textId="77777777" w:rsidR="00B26960" w:rsidRPr="003A408D" w:rsidRDefault="00B26960">
      <w:pPr>
        <w:spacing w:after="0" w:line="100" w:lineRule="atLeast"/>
        <w:jc w:val="both"/>
        <w:rPr>
          <w:rFonts w:ascii="Times New Roman" w:hAnsi="Times New Roman"/>
          <w:sz w:val="24"/>
          <w:szCs w:val="24"/>
          <w:lang w:val="en-US"/>
        </w:rPr>
      </w:pPr>
    </w:p>
    <w:p w14:paraId="2700FA79" w14:textId="067EDE31"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780C6B">
        <w:rPr>
          <w:rFonts w:ascii="Times New Roman" w:hAnsi="Times New Roman"/>
          <w:sz w:val="24"/>
        </w:rPr>
        <w:t xml:space="preserve">100% of the eligible costs actually incurred. </w:t>
      </w:r>
    </w:p>
    <w:p w14:paraId="6B95AFD3" w14:textId="33929480" w:rsidR="00024ADF"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costs directly related to participants with </w:t>
      </w:r>
      <w:r w:rsidR="00024ADF">
        <w:rPr>
          <w:rFonts w:ascii="Times New Roman" w:hAnsi="Times New Roman"/>
          <w:sz w:val="24"/>
          <w:szCs w:val="24"/>
        </w:rPr>
        <w:t>special needs</w:t>
      </w:r>
      <w:r w:rsidR="009924D6">
        <w:rPr>
          <w:rFonts w:ascii="Times New Roman" w:hAnsi="Times New Roman"/>
          <w:sz w:val="24"/>
          <w:szCs w:val="24"/>
        </w:rPr>
        <w:t xml:space="preserve"> </w:t>
      </w:r>
      <w:r w:rsidR="00024ADF" w:rsidRPr="00024ADF">
        <w:rPr>
          <w:rFonts w:ascii="Times New Roman" w:hAnsi="Times New Roman"/>
          <w:sz w:val="24"/>
          <w:szCs w:val="24"/>
        </w:rPr>
        <w:t>and accompanying persons (including costs related to travel and subsistence, if justified</w:t>
      </w:r>
      <w:r w:rsidR="00785E34">
        <w:rPr>
          <w:rFonts w:ascii="Times New Roman" w:hAnsi="Times New Roman"/>
          <w:sz w:val="24"/>
          <w:szCs w:val="24"/>
        </w:rPr>
        <w:t>)</w:t>
      </w:r>
      <w:r w:rsidR="00140DB3">
        <w:rPr>
          <w:rFonts w:ascii="Times New Roman" w:hAnsi="Times New Roman"/>
          <w:sz w:val="24"/>
          <w:szCs w:val="24"/>
        </w:rPr>
        <w:t xml:space="preserve">, </w:t>
      </w:r>
      <w:r w:rsidR="00024ADF" w:rsidRPr="00024ADF">
        <w:rPr>
          <w:rFonts w:ascii="Times New Roman" w:hAnsi="Times New Roman"/>
          <w:sz w:val="24"/>
          <w:szCs w:val="24"/>
        </w:rPr>
        <w:t xml:space="preserve">as long as a unit contribution for these participants is not requested through budget categories "travel" and </w:t>
      </w:r>
      <w:r w:rsidR="00024ADF" w:rsidRPr="00F5202D">
        <w:rPr>
          <w:rFonts w:ascii="Times New Roman" w:hAnsi="Times New Roman"/>
          <w:sz w:val="24"/>
          <w:szCs w:val="24"/>
        </w:rPr>
        <w:t>"organisational support"</w:t>
      </w:r>
      <w:r w:rsidR="00D41326">
        <w:rPr>
          <w:rFonts w:ascii="Times New Roman" w:hAnsi="Times New Roman"/>
          <w:sz w:val="24"/>
          <w:szCs w:val="24"/>
        </w:rPr>
        <w:t>,</w:t>
      </w:r>
      <w:r w:rsidR="00024ADF" w:rsidRPr="00024ADF">
        <w:rPr>
          <w:rFonts w:ascii="Times New Roman" w:hAnsi="Times New Roman"/>
          <w:sz w:val="24"/>
          <w:szCs w:val="24"/>
        </w:rPr>
        <w:t xml:space="preserve"> and that are additional to costs supported by a unit contribution as specified in Section I of this Annex.</w:t>
      </w:r>
    </w:p>
    <w:p w14:paraId="00CE0F39" w14:textId="2201A114"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C2AB66D" w14:textId="77777777"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0DA560B3" w14:textId="2600299A" w:rsidR="00B26960" w:rsidRDefault="00B26960" w:rsidP="00D41326">
      <w:pPr>
        <w:pStyle w:val="Sraopastraipa"/>
        <w:numPr>
          <w:ilvl w:val="0"/>
          <w:numId w:val="174"/>
        </w:numPr>
        <w:jc w:val="both"/>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w:t>
      </w:r>
      <w:r w:rsidR="00D41326">
        <w:rPr>
          <w:rFonts w:ascii="Times New Roman" w:eastAsia="Calibri" w:hAnsi="Times New Roman" w:cs="Times New Roman"/>
          <w:sz w:val="24"/>
          <w:szCs w:val="24"/>
        </w:rPr>
        <w:t xml:space="preserve"> </w:t>
      </w:r>
      <w:r w:rsidR="00412AD7" w:rsidRPr="00F5202D">
        <w:rPr>
          <w:rFonts w:ascii="Times New Roman" w:eastAsia="Calibri" w:hAnsi="Times New Roman" w:cs="Times New Roman"/>
          <w:sz w:val="24"/>
          <w:szCs w:val="24"/>
        </w:rPr>
        <w:t xml:space="preserve">or </w:t>
      </w:r>
      <w:r w:rsidR="00943523" w:rsidRPr="00F5202D">
        <w:rPr>
          <w:rFonts w:ascii="Times New Roman" w:eastAsia="Calibri" w:hAnsi="Times New Roman" w:cs="Times New Roman"/>
          <w:sz w:val="24"/>
          <w:szCs w:val="24"/>
        </w:rPr>
        <w:t>an</w:t>
      </w:r>
      <w:r w:rsidR="00412AD7" w:rsidRPr="00F5202D">
        <w:rPr>
          <w:rFonts w:ascii="Times New Roman" w:eastAsia="Calibri" w:hAnsi="Times New Roman" w:cs="Times New Roman"/>
          <w:sz w:val="24"/>
          <w:szCs w:val="24"/>
        </w:rPr>
        <w:t xml:space="preserve"> accompanying person</w:t>
      </w:r>
      <w:r w:rsidR="00412AD7" w:rsidRPr="00B30147">
        <w:rPr>
          <w:rFonts w:ascii="Times New Roman" w:eastAsia="Calibri" w:hAnsi="Times New Roman" w:cs="Times New Roman"/>
          <w:sz w:val="24"/>
          <w:szCs w:val="24"/>
        </w:rPr>
        <w:t xml:space="preserve"> </w:t>
      </w:r>
      <w:r w:rsidRPr="00780C6B">
        <w:rPr>
          <w:rFonts w:ascii="Times New Roman" w:eastAsia="Calibri" w:hAnsi="Times New Roman" w:cs="Times New Roman"/>
          <w:sz w:val="24"/>
          <w:szCs w:val="24"/>
        </w:rPr>
        <w:t>was used for any of the participants with special needs and/or accompanying person</w:t>
      </w:r>
      <w:r w:rsidR="00144121">
        <w:rPr>
          <w:rFonts w:ascii="Times New Roman" w:eastAsia="Calibri" w:hAnsi="Times New Roman" w:cs="Times New Roman"/>
          <w:sz w:val="24"/>
          <w:szCs w:val="24"/>
        </w:rPr>
        <w:t>.</w:t>
      </w:r>
    </w:p>
    <w:p w14:paraId="6F48C927" w14:textId="77777777" w:rsidR="00D41326" w:rsidRDefault="00D41326" w:rsidP="00D41326">
      <w:pPr>
        <w:pStyle w:val="Sraopastraipa"/>
        <w:jc w:val="both"/>
        <w:rPr>
          <w:rFonts w:ascii="Times New Roman" w:eastAsia="Calibri" w:hAnsi="Times New Roman" w:cs="Times New Roman"/>
          <w:sz w:val="24"/>
          <w:szCs w:val="24"/>
        </w:rPr>
      </w:pPr>
    </w:p>
    <w:p w14:paraId="1C7B5DAA" w14:textId="77777777" w:rsidR="00B26960" w:rsidRPr="00780C6B" w:rsidRDefault="00B26960" w:rsidP="007503D8">
      <w:pPr>
        <w:pStyle w:val="Sraopastraipa"/>
        <w:numPr>
          <w:ilvl w:val="0"/>
          <w:numId w:val="174"/>
        </w:numPr>
        <w:jc w:val="both"/>
        <w:rPr>
          <w:rFonts w:ascii="Times New Roman" w:eastAsia="Calibri" w:hAnsi="Times New Roman" w:cs="Times New Roman"/>
          <w:sz w:val="24"/>
          <w:szCs w:val="24"/>
          <w:shd w:val="clear" w:color="auto" w:fill="00FFFF"/>
        </w:rPr>
      </w:pPr>
      <w:r w:rsidRPr="00780C6B">
        <w:rPr>
          <w:rFonts w:ascii="Times New Roman" w:eastAsia="Calibri" w:hAnsi="Times New Roman" w:cs="Times New Roman"/>
          <w:sz w:val="24"/>
          <w:szCs w:val="24"/>
        </w:rPr>
        <w:t xml:space="preserve">In such case, 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43C503CC" w14:textId="77777777" w:rsidR="00B26960" w:rsidRPr="00780C6B" w:rsidRDefault="00B26960" w:rsidP="00780C6B">
      <w:pPr>
        <w:spacing w:line="100" w:lineRule="atLeast"/>
        <w:jc w:val="both"/>
        <w:rPr>
          <w:rFonts w:ascii="Times New Roman" w:hAnsi="Times New Roman"/>
          <w:sz w:val="24"/>
          <w:szCs w:val="24"/>
        </w:rPr>
      </w:pPr>
    </w:p>
    <w:p w14:paraId="7856C71C" w14:textId="79C01D66"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r w:rsidR="00D41326" w:rsidRPr="009C0C82">
        <w:rPr>
          <w:rFonts w:ascii="Times New Roman" w:eastAsia="Times New Roman" w:hAnsi="Times New Roman"/>
          <w:sz w:val="24"/>
          <w:szCs w:val="24"/>
          <w:shd w:val="clear" w:color="auto" w:fill="00FFFF"/>
        </w:rPr>
        <w:t>(</w:t>
      </w:r>
      <w:r w:rsidR="00D41326">
        <w:rPr>
          <w:rFonts w:ascii="Times New Roman" w:eastAsia="Times New Roman" w:hAnsi="Times New Roman"/>
          <w:sz w:val="24"/>
          <w:szCs w:val="24"/>
          <w:shd w:val="clear" w:color="auto" w:fill="00FFFF"/>
        </w:rPr>
        <w:t>Youth Exchanges</w:t>
      </w:r>
      <w:r w:rsidR="00D41326" w:rsidRPr="009C0C82">
        <w:rPr>
          <w:rFonts w:ascii="Times New Roman" w:eastAsia="Times New Roman" w:hAnsi="Times New Roman"/>
          <w:sz w:val="24"/>
          <w:szCs w:val="24"/>
          <w:shd w:val="clear" w:color="auto" w:fill="00FFFF"/>
        </w:rPr>
        <w:t>)</w:t>
      </w:r>
    </w:p>
    <w:p w14:paraId="34216A7E" w14:textId="021D7A1B"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participants and of 100% of the eligible costs actually incurred for the participation of young people with fewer opportunities, for visa related costs, residence permits</w:t>
      </w:r>
      <w:r w:rsidR="00030955">
        <w:rPr>
          <w:rFonts w:ascii="Times New Roman" w:hAnsi="Times New Roman"/>
          <w:sz w:val="24"/>
          <w:szCs w:val="24"/>
        </w:rPr>
        <w:t xml:space="preserve">, </w:t>
      </w:r>
      <w:r w:rsidRPr="00780C6B">
        <w:rPr>
          <w:rFonts w:ascii="Times New Roman" w:hAnsi="Times New Roman"/>
          <w:sz w:val="24"/>
          <w:szCs w:val="24"/>
        </w:rPr>
        <w:t xml:space="preserve">vaccinations and </w:t>
      </w:r>
      <w:r w:rsidR="0078535F">
        <w:rPr>
          <w:rFonts w:ascii="Times New Roman" w:hAnsi="Times New Roman"/>
          <w:sz w:val="24"/>
          <w:szCs w:val="24"/>
        </w:rPr>
        <w:t>costs connected to board and</w:t>
      </w:r>
      <w:r w:rsidRPr="00780C6B">
        <w:rPr>
          <w:rFonts w:ascii="Times New Roman" w:hAnsi="Times New Roman"/>
          <w:sz w:val="24"/>
          <w:szCs w:val="24"/>
        </w:rPr>
        <w:t xml:space="preserve"> lodging of participants </w:t>
      </w:r>
      <w:r w:rsidR="0078535F">
        <w:rPr>
          <w:rFonts w:ascii="Times New Roman" w:hAnsi="Times New Roman"/>
          <w:sz w:val="24"/>
          <w:szCs w:val="24"/>
        </w:rPr>
        <w:t xml:space="preserve">during </w:t>
      </w:r>
      <w:r w:rsidRPr="00780C6B">
        <w:rPr>
          <w:rFonts w:ascii="Times New Roman" w:hAnsi="Times New Roman"/>
          <w:sz w:val="24"/>
          <w:szCs w:val="24"/>
        </w:rPr>
        <w:t xml:space="preserve"> an Advance Planning Visit. </w:t>
      </w:r>
    </w:p>
    <w:p w14:paraId="00FF3E37" w14:textId="77777777"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5B0280AC" w14:textId="77777777"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 of the Agreement;</w:t>
      </w:r>
    </w:p>
    <w:p w14:paraId="0A0F2546" w14:textId="77777777" w:rsid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 xml:space="preserve">Costs of travel </w:t>
      </w:r>
      <w:r w:rsidR="00D82B86" w:rsidRPr="00782BA4">
        <w:rPr>
          <w:rFonts w:ascii="Times New Roman" w:hAnsi="Times New Roman"/>
          <w:sz w:val="24"/>
          <w:szCs w:val="24"/>
        </w:rPr>
        <w:t xml:space="preserve">in the most economical but also effective way </w:t>
      </w:r>
      <w:r w:rsidRPr="00782BA4">
        <w:rPr>
          <w:rFonts w:ascii="Times New Roman" w:hAnsi="Times New Roman"/>
          <w:sz w:val="24"/>
          <w:szCs w:val="24"/>
        </w:rPr>
        <w:t xml:space="preserve">for </w:t>
      </w:r>
      <w:r w:rsidR="008C5AA5" w:rsidRPr="00782BA4">
        <w:rPr>
          <w:rFonts w:ascii="Times New Roman" w:hAnsi="Times New Roman"/>
          <w:sz w:val="24"/>
          <w:szCs w:val="24"/>
        </w:rPr>
        <w:t xml:space="preserve">eligible </w:t>
      </w:r>
      <w:r w:rsidRPr="00782BA4">
        <w:rPr>
          <w:rFonts w:ascii="Times New Roman" w:hAnsi="Times New Roman"/>
          <w:sz w:val="24"/>
          <w:szCs w:val="24"/>
        </w:rPr>
        <w:t xml:space="preserve">participants </w:t>
      </w:r>
      <w:r w:rsidRPr="00D27798">
        <w:rPr>
          <w:rFonts w:ascii="Times New Roman" w:hAnsi="Times New Roman"/>
          <w:sz w:val="24"/>
          <w:szCs w:val="24"/>
        </w:rPr>
        <w:t>for which the standard funding rule does not cover at least 70%</w:t>
      </w:r>
      <w:r w:rsidR="00782BA4">
        <w:rPr>
          <w:rFonts w:ascii="Times New Roman" w:hAnsi="Times New Roman"/>
          <w:sz w:val="24"/>
          <w:szCs w:val="24"/>
        </w:rPr>
        <w:t>. T</w:t>
      </w:r>
      <w:r w:rsidR="00782BA4" w:rsidRPr="00604941">
        <w:rPr>
          <w:rFonts w:ascii="Times New Roman" w:hAnsi="Times New Roman"/>
          <w:sz w:val="24"/>
          <w:szCs w:val="24"/>
        </w:rPr>
        <w:t xml:space="preserve">he exceptional costs for expensive travel replace </w:t>
      </w:r>
      <w:r w:rsidR="00782BA4" w:rsidRPr="00EA5E7C">
        <w:rPr>
          <w:rFonts w:ascii="Times New Roman" w:hAnsi="Times New Roman"/>
          <w:sz w:val="24"/>
          <w:szCs w:val="24"/>
        </w:rPr>
        <w:t>the standard travel grant.</w:t>
      </w:r>
    </w:p>
    <w:p w14:paraId="0215A4C2" w14:textId="77777777" w:rsidR="00B26960" w:rsidRP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Costs related to visas, residence permits and vaccinations of participants in mobility activities;</w:t>
      </w:r>
    </w:p>
    <w:p w14:paraId="135E4E0B" w14:textId="77777777"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lastRenderedPageBreak/>
        <w:t>Costs to support the participation of young people with fewer opportunities (excluding costs for travel and organisational support for participants and accompanying persons);</w:t>
      </w:r>
    </w:p>
    <w:p w14:paraId="23E4ABE1" w14:textId="3FE20FC9"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 xml:space="preserve">Costs </w:t>
      </w:r>
      <w:r w:rsidR="0078535F">
        <w:rPr>
          <w:rFonts w:ascii="Times New Roman" w:hAnsi="Times New Roman"/>
          <w:sz w:val="24"/>
          <w:szCs w:val="24"/>
        </w:rPr>
        <w:t xml:space="preserve">connected to </w:t>
      </w:r>
      <w:r w:rsidR="00D52D82">
        <w:rPr>
          <w:rFonts w:ascii="Times New Roman" w:hAnsi="Times New Roman"/>
          <w:sz w:val="24"/>
          <w:szCs w:val="24"/>
        </w:rPr>
        <w:t xml:space="preserve">board and </w:t>
      </w:r>
      <w:r w:rsidRPr="00780C6B">
        <w:rPr>
          <w:rFonts w:ascii="Times New Roman" w:hAnsi="Times New Roman"/>
          <w:sz w:val="24"/>
          <w:szCs w:val="24"/>
        </w:rPr>
        <w:t xml:space="preserve">lodging of participants </w:t>
      </w:r>
      <w:r w:rsidR="0078535F">
        <w:rPr>
          <w:rFonts w:ascii="Times New Roman" w:hAnsi="Times New Roman"/>
          <w:sz w:val="24"/>
          <w:szCs w:val="24"/>
        </w:rPr>
        <w:t xml:space="preserve">during </w:t>
      </w:r>
      <w:r w:rsidRPr="00780C6B">
        <w:rPr>
          <w:rFonts w:ascii="Times New Roman" w:hAnsi="Times New Roman"/>
          <w:sz w:val="24"/>
          <w:szCs w:val="24"/>
        </w:rPr>
        <w:t>an Advance Planning Visit.</w:t>
      </w:r>
    </w:p>
    <w:p w14:paraId="16A2A3D8" w14:textId="77777777" w:rsidR="00B26960" w:rsidRPr="00780C6B" w:rsidRDefault="00B26960" w:rsidP="002250FC">
      <w:pPr>
        <w:numPr>
          <w:ilvl w:val="0"/>
          <w:numId w:val="48"/>
        </w:numPr>
        <w:spacing w:line="100" w:lineRule="atLeast"/>
        <w:ind w:left="567" w:hanging="425"/>
        <w:jc w:val="both"/>
        <w:rPr>
          <w:rFonts w:ascii="Times New Roman" w:hAnsi="Times New Roman"/>
          <w:sz w:val="24"/>
          <w:szCs w:val="24"/>
        </w:rPr>
      </w:pPr>
      <w:r w:rsidRPr="00780C6B">
        <w:rPr>
          <w:rFonts w:ascii="Times New Roman" w:hAnsi="Times New Roman"/>
          <w:sz w:val="24"/>
          <w:szCs w:val="24"/>
        </w:rPr>
        <w:t xml:space="preserve">Supporting documents: </w:t>
      </w:r>
    </w:p>
    <w:p w14:paraId="7874456B"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1F9823AB"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D82B86">
        <w:rPr>
          <w:rFonts w:ascii="Times New Roman" w:hAnsi="Times New Roman"/>
          <w:sz w:val="24"/>
          <w:szCs w:val="24"/>
        </w:rPr>
        <w:t>travel costs</w:t>
      </w:r>
      <w:r w:rsidR="008C5AA5">
        <w:rPr>
          <w:rFonts w:ascii="Times New Roman" w:hAnsi="Times New Roman"/>
          <w:sz w:val="24"/>
          <w:szCs w:val="24"/>
        </w:rPr>
        <w:t xml:space="preserve">: </w:t>
      </w:r>
      <w:r w:rsidR="00D82B86">
        <w:rPr>
          <w:rFonts w:ascii="Times New Roman" w:hAnsi="Times New Roman"/>
          <w:sz w:val="24"/>
          <w:szCs w:val="24"/>
        </w:rPr>
        <w:t xml:space="preserve">proof of </w:t>
      </w:r>
      <w:r w:rsidRPr="00780C6B">
        <w:rPr>
          <w:rFonts w:ascii="Times New Roman" w:hAnsi="Times New Roman"/>
          <w:sz w:val="24"/>
          <w:szCs w:val="24"/>
        </w:rPr>
        <w:t>payment of the related costs on the basis of invoices specifying the name and address of the body issuing the invoice, the amount and currency, the date of the invoice</w:t>
      </w:r>
      <w:r w:rsidR="00795432">
        <w:rPr>
          <w:rFonts w:ascii="Times New Roman" w:hAnsi="Times New Roman"/>
          <w:sz w:val="24"/>
          <w:szCs w:val="24"/>
        </w:rPr>
        <w:t xml:space="preserve"> and the travel route</w:t>
      </w:r>
      <w:r w:rsidRPr="00780C6B">
        <w:rPr>
          <w:rFonts w:ascii="Times New Roman" w:hAnsi="Times New Roman"/>
          <w:sz w:val="24"/>
          <w:szCs w:val="24"/>
        </w:rPr>
        <w:t>;</w:t>
      </w:r>
    </w:p>
    <w:p w14:paraId="2A9D0C19"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14:paraId="65E5DEAA"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3E9C19D1" w14:textId="77777777" w:rsidR="00B26960"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for lodging of participants in an Advance Planning Visit: proof of payment of lodging costs on the basis of an invoice specifying the name and address of the body issuing the invoice, the amount and currency, and the date of the invoice.</w:t>
      </w:r>
    </w:p>
    <w:p w14:paraId="616BDD41" w14:textId="77777777" w:rsidR="00D41326" w:rsidRDefault="00D41326" w:rsidP="002250FC">
      <w:pPr>
        <w:spacing w:line="100" w:lineRule="atLeast"/>
        <w:jc w:val="both"/>
        <w:rPr>
          <w:rFonts w:ascii="Times New Roman" w:eastAsia="Times New Roman" w:hAnsi="Times New Roman"/>
          <w:sz w:val="24"/>
          <w:szCs w:val="24"/>
          <w:shd w:val="clear" w:color="auto" w:fill="00FFFF"/>
        </w:rPr>
      </w:pPr>
    </w:p>
    <w:p w14:paraId="35166946" w14:textId="3E1FB4E7"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r w:rsidR="00D41326" w:rsidRPr="009C0C82">
        <w:rPr>
          <w:rFonts w:ascii="Times New Roman" w:eastAsia="Times New Roman" w:hAnsi="Times New Roman"/>
          <w:sz w:val="24"/>
          <w:szCs w:val="24"/>
          <w:shd w:val="clear" w:color="auto" w:fill="00FFFF"/>
        </w:rPr>
        <w:t>(Youth Workers mobility)</w:t>
      </w:r>
    </w:p>
    <w:p w14:paraId="37D1718E" w14:textId="77777777"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for a financial guarantee, of 80% of the eligible costs for expensive travel costs of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and of 100% of the eligible costs actually incurred for visas related costs, residence permits, vaccinations. </w:t>
      </w:r>
    </w:p>
    <w:p w14:paraId="78FE273B" w14:textId="77777777"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4933E9AF" w14:textId="77777777" w:rsidR="00B26960" w:rsidRPr="00780C6B"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14:paraId="6798C41A" w14:textId="77777777" w:rsidR="00B26960" w:rsidRPr="00883D99"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lastRenderedPageBreak/>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Pr="00883D99">
        <w:rPr>
          <w:rFonts w:ascii="Times New Roman" w:hAnsi="Times New Roman"/>
          <w:sz w:val="24"/>
          <w:szCs w:val="24"/>
        </w:rPr>
        <w:t>for which the standard funding ru</w:t>
      </w:r>
      <w:r w:rsidR="00A30D54">
        <w:rPr>
          <w:rFonts w:ascii="Times New Roman" w:hAnsi="Times New Roman"/>
          <w:sz w:val="24"/>
          <w:szCs w:val="24"/>
        </w:rPr>
        <w:t>le does not cover at least 70%. T</w:t>
      </w:r>
      <w:r w:rsidR="00A30D54" w:rsidRPr="00604941">
        <w:rPr>
          <w:rFonts w:ascii="Times New Roman" w:hAnsi="Times New Roman"/>
          <w:sz w:val="24"/>
          <w:szCs w:val="24"/>
        </w:rPr>
        <w:t xml:space="preserve">he exceptional costs for expensive travel replace </w:t>
      </w:r>
      <w:r w:rsidR="00A30D54" w:rsidRPr="00EA5E7C">
        <w:rPr>
          <w:rFonts w:ascii="Times New Roman" w:hAnsi="Times New Roman"/>
          <w:sz w:val="24"/>
          <w:szCs w:val="24"/>
        </w:rPr>
        <w:t>the standard travel grant.</w:t>
      </w:r>
    </w:p>
    <w:p w14:paraId="6AA7F801" w14:textId="77777777" w:rsidR="00B26960" w:rsidRPr="00224CA0" w:rsidRDefault="00B26960" w:rsidP="009C0C82">
      <w:pPr>
        <w:numPr>
          <w:ilvl w:val="0"/>
          <w:numId w:val="180"/>
        </w:numPr>
        <w:spacing w:line="100" w:lineRule="atLeast"/>
        <w:jc w:val="both"/>
        <w:rPr>
          <w:rFonts w:ascii="Times New Roman" w:hAnsi="Times New Roman"/>
          <w:sz w:val="24"/>
          <w:szCs w:val="24"/>
        </w:rPr>
      </w:pPr>
      <w:r w:rsidRPr="0001064F">
        <w:rPr>
          <w:rFonts w:ascii="Times New Roman" w:hAnsi="Times New Roman"/>
          <w:sz w:val="24"/>
          <w:szCs w:val="24"/>
        </w:rPr>
        <w:t>Costs re</w:t>
      </w:r>
      <w:r w:rsidRPr="00224CA0">
        <w:rPr>
          <w:rFonts w:ascii="Times New Roman" w:hAnsi="Times New Roman"/>
          <w:sz w:val="24"/>
          <w:szCs w:val="24"/>
        </w:rPr>
        <w:t>lated to visas, residence permits and vaccinations of participants in mobility activities.</w:t>
      </w:r>
    </w:p>
    <w:p w14:paraId="48E2210B" w14:textId="77777777" w:rsidR="00B26960" w:rsidRPr="007F4828" w:rsidRDefault="00B26960" w:rsidP="002250FC">
      <w:pPr>
        <w:numPr>
          <w:ilvl w:val="0"/>
          <w:numId w:val="61"/>
        </w:numPr>
        <w:spacing w:line="100" w:lineRule="atLeast"/>
        <w:ind w:left="567" w:hanging="501"/>
        <w:jc w:val="both"/>
        <w:rPr>
          <w:rFonts w:ascii="Times New Roman" w:hAnsi="Times New Roman"/>
          <w:sz w:val="24"/>
          <w:szCs w:val="24"/>
        </w:rPr>
      </w:pPr>
      <w:r w:rsidRPr="007F4828">
        <w:rPr>
          <w:rFonts w:ascii="Times New Roman" w:hAnsi="Times New Roman"/>
          <w:sz w:val="24"/>
          <w:szCs w:val="24"/>
        </w:rPr>
        <w:t xml:space="preserve">Supporting documents: </w:t>
      </w:r>
    </w:p>
    <w:p w14:paraId="261A854E" w14:textId="77777777" w:rsidR="00B26960" w:rsidRPr="00994B87" w:rsidRDefault="00B26960" w:rsidP="009C0C82">
      <w:pPr>
        <w:numPr>
          <w:ilvl w:val="0"/>
          <w:numId w:val="179"/>
        </w:numPr>
        <w:spacing w:line="100" w:lineRule="atLeast"/>
        <w:jc w:val="both"/>
        <w:rPr>
          <w:rFonts w:ascii="Times New Roman" w:hAnsi="Times New Roman"/>
          <w:sz w:val="24"/>
          <w:szCs w:val="24"/>
        </w:rPr>
      </w:pPr>
      <w:r w:rsidRPr="00994B87">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6278C0CC" w14:textId="77777777" w:rsidR="00B26960" w:rsidRPr="001A6DB7" w:rsidRDefault="00B26960" w:rsidP="009C0C82">
      <w:pPr>
        <w:numPr>
          <w:ilvl w:val="0"/>
          <w:numId w:val="179"/>
        </w:numPr>
        <w:spacing w:line="100" w:lineRule="atLeast"/>
        <w:jc w:val="both"/>
        <w:rPr>
          <w:rFonts w:ascii="Times New Roman" w:hAnsi="Times New Roman"/>
          <w:sz w:val="24"/>
          <w:szCs w:val="24"/>
        </w:rPr>
      </w:pPr>
      <w:r w:rsidRPr="001F5BC9">
        <w:rPr>
          <w:rFonts w:ascii="Times New Roman" w:hAnsi="Times New Roman"/>
          <w:sz w:val="24"/>
          <w:szCs w:val="24"/>
        </w:rPr>
        <w:t>In the case of</w:t>
      </w:r>
      <w:r w:rsidR="00D82B86">
        <w:rPr>
          <w:rFonts w:ascii="Times New Roman" w:hAnsi="Times New Roman"/>
          <w:sz w:val="24"/>
          <w:szCs w:val="24"/>
        </w:rPr>
        <w:t xml:space="preserve"> </w:t>
      </w:r>
      <w:r w:rsidRPr="001F5BC9">
        <w:rPr>
          <w:rFonts w:ascii="Times New Roman" w:hAnsi="Times New Roman"/>
          <w:sz w:val="24"/>
          <w:szCs w:val="24"/>
        </w:rPr>
        <w:t>travel</w:t>
      </w:r>
      <w:r w:rsidR="00D82B86">
        <w:rPr>
          <w:rFonts w:ascii="Times New Roman" w:hAnsi="Times New Roman"/>
          <w:sz w:val="24"/>
          <w:szCs w:val="24"/>
        </w:rPr>
        <w:t xml:space="preserve"> costs</w:t>
      </w:r>
      <w:r w:rsidR="00A77F6D">
        <w:rPr>
          <w:rFonts w:ascii="Times New Roman" w:hAnsi="Times New Roman"/>
          <w:sz w:val="24"/>
          <w:szCs w:val="24"/>
        </w:rPr>
        <w:t xml:space="preserve">: </w:t>
      </w:r>
      <w:r w:rsidRPr="001A6DB7">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F532D">
        <w:rPr>
          <w:rFonts w:ascii="Times New Roman" w:hAnsi="Times New Roman"/>
          <w:sz w:val="24"/>
          <w:szCs w:val="24"/>
        </w:rPr>
        <w:t xml:space="preserve"> and the travel route</w:t>
      </w:r>
      <w:r w:rsidRPr="001A6DB7">
        <w:rPr>
          <w:rFonts w:ascii="Times New Roman" w:hAnsi="Times New Roman"/>
          <w:sz w:val="24"/>
          <w:szCs w:val="24"/>
        </w:rPr>
        <w:t>;</w:t>
      </w:r>
    </w:p>
    <w:p w14:paraId="4D894C8B" w14:textId="77777777" w:rsidR="00B26960" w:rsidRPr="009C0C82" w:rsidRDefault="00B26960" w:rsidP="009C0C82">
      <w:pPr>
        <w:numPr>
          <w:ilvl w:val="0"/>
          <w:numId w:val="179"/>
        </w:numPr>
        <w:spacing w:line="100" w:lineRule="atLeast"/>
        <w:jc w:val="both"/>
        <w:rPr>
          <w:rFonts w:ascii="Times New Roman" w:hAnsi="Times New Roman"/>
          <w:sz w:val="24"/>
          <w:szCs w:val="24"/>
          <w:u w:val="single"/>
        </w:rPr>
      </w:pPr>
      <w:r w:rsidRPr="001A6DB7">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14:paraId="66ED641A" w14:textId="2619AD0D" w:rsidR="007503D8" w:rsidRDefault="00D41326" w:rsidP="009C0C82">
      <w:pPr>
        <w:tabs>
          <w:tab w:val="left" w:pos="567"/>
        </w:tabs>
        <w:spacing w:line="100" w:lineRule="atLeast"/>
        <w:jc w:val="both"/>
      </w:pPr>
      <w:r>
        <w:rPr>
          <w:rFonts w:ascii="Times New Roman" w:hAnsi="Times New Roman"/>
          <w:sz w:val="24"/>
          <w:szCs w:val="24"/>
        </w:rPr>
        <w:t xml:space="preserve"> </w:t>
      </w:r>
      <w:r w:rsidR="007503D8">
        <w:rPr>
          <w:rFonts w:ascii="Times New Roman" w:hAnsi="Times New Roman"/>
          <w:sz w:val="24"/>
          <w:szCs w:val="24"/>
        </w:rPr>
        <w:t xml:space="preserve">(d) </w:t>
      </w:r>
      <w:r w:rsidR="007503D8">
        <w:rPr>
          <w:rFonts w:ascii="Times New Roman" w:hAnsi="Times New Roman"/>
          <w:sz w:val="24"/>
          <w:szCs w:val="24"/>
        </w:rPr>
        <w:tab/>
        <w:t>Reporting:</w:t>
      </w:r>
    </w:p>
    <w:p w14:paraId="3C26378D" w14:textId="77777777" w:rsidR="007503D8" w:rsidRPr="0083055A" w:rsidRDefault="007503D8" w:rsidP="007503D8">
      <w:pPr>
        <w:pStyle w:val="Sraopastraipa"/>
        <w:numPr>
          <w:ilvl w:val="0"/>
          <w:numId w:val="66"/>
        </w:numPr>
        <w:ind w:left="1134"/>
      </w:pPr>
      <w:r>
        <w:rPr>
          <w:rFonts w:ascii="Times New Roman" w:eastAsia="Calibri" w:hAnsi="Times New Roman" w:cs="Times New Roman"/>
          <w:sz w:val="24"/>
          <w:szCs w:val="24"/>
        </w:rPr>
        <w:t>The beneficiary must report in Mobility Tool+ whether exceptional costs were incurred;</w:t>
      </w:r>
    </w:p>
    <w:p w14:paraId="212DEA9A" w14:textId="77777777" w:rsidR="007503D8" w:rsidRDefault="007503D8" w:rsidP="007503D8">
      <w:pPr>
        <w:pStyle w:val="Sraopastraipa"/>
        <w:ind w:left="1134"/>
      </w:pPr>
    </w:p>
    <w:p w14:paraId="798DC945" w14:textId="3E7D9B9E" w:rsidR="007503D8" w:rsidRPr="003F2959" w:rsidRDefault="007503D8" w:rsidP="007503D8">
      <w:pPr>
        <w:pStyle w:val="Sraopastraipa"/>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In such case, the beneficiary must report in Mobili</w:t>
      </w:r>
      <w:r w:rsidR="00785E34">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expenses as well as the real amo</w:t>
      </w:r>
      <w:r w:rsidR="00D41326">
        <w:rPr>
          <w:rFonts w:ascii="Times New Roman" w:eastAsia="Calibri" w:hAnsi="Times New Roman" w:cs="Times New Roman"/>
          <w:sz w:val="24"/>
          <w:szCs w:val="24"/>
        </w:rPr>
        <w:t>unt of related costs incurred.</w:t>
      </w:r>
    </w:p>
    <w:p w14:paraId="4F6F462A" w14:textId="77777777" w:rsidR="0090061E" w:rsidRDefault="0090061E" w:rsidP="0090061E">
      <w:pPr>
        <w:spacing w:line="100" w:lineRule="atLeast"/>
        <w:jc w:val="both"/>
        <w:rPr>
          <w:rFonts w:ascii="Times New Roman" w:hAnsi="Times New Roman"/>
          <w:sz w:val="24"/>
          <w:szCs w:val="24"/>
          <w:highlight w:val="cyan"/>
        </w:rPr>
      </w:pPr>
    </w:p>
    <w:p w14:paraId="3288C107" w14:textId="77777777"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t xml:space="preserve">IV. RULES AND CONDITIONS FOR GRANT REDUCTION FOR POOR, PARTIAL OR LATE IMPLEMENTATION  </w:t>
      </w:r>
    </w:p>
    <w:p w14:paraId="4A868C29"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p>
    <w:p w14:paraId="26BBEBAB"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124CD2BF"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5D0E2F19" w14:textId="77777777" w:rsidR="00B26960" w:rsidRPr="00780C6B" w:rsidRDefault="00B26960" w:rsidP="007503D8">
      <w:pPr>
        <w:numPr>
          <w:ilvl w:val="0"/>
          <w:numId w:val="173"/>
        </w:numPr>
        <w:tabs>
          <w:tab w:val="left" w:pos="709"/>
        </w:tabs>
        <w:jc w:val="both"/>
        <w:rPr>
          <w:rFonts w:ascii="Times New Roman" w:hAnsi="Times New Roman"/>
          <w:sz w:val="24"/>
          <w:szCs w:val="24"/>
          <w:shd w:val="clear" w:color="auto" w:fill="00FFFF"/>
        </w:rPr>
      </w:pPr>
      <w:r w:rsidRPr="00780C6B">
        <w:rPr>
          <w:rFonts w:ascii="Times New Roman" w:hAnsi="Times New Roman"/>
          <w:sz w:val="24"/>
          <w:szCs w:val="24"/>
        </w:rPr>
        <w:t>The final report will be assessed in conjunction with the reports from the mobility participants, using a common set of quality criteria focusing on:</w:t>
      </w:r>
    </w:p>
    <w:p w14:paraId="7FF695E7"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line with the approved grant application</w:t>
      </w:r>
    </w:p>
    <w:p w14:paraId="31E1C783"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quality of the learning outcomes and impact on participants</w:t>
      </w:r>
    </w:p>
    <w:p w14:paraId="3DAFCB86"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C1FB2D7"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 xml:space="preserve">The quality of the practical arrangements provided in support of the mobility, in terms of preparation, monitoring and support to participants during their mobility activity </w:t>
      </w:r>
    </w:p>
    <w:p w14:paraId="071CAFCF" w14:textId="77777777" w:rsidR="00B26960" w:rsidRPr="00780C6B" w:rsidRDefault="00B26960" w:rsidP="00E33E61">
      <w:pPr>
        <w:numPr>
          <w:ilvl w:val="1"/>
          <w:numId w:val="142"/>
        </w:numPr>
        <w:ind w:left="1276" w:hanging="283"/>
        <w:jc w:val="both"/>
        <w:rPr>
          <w:rFonts w:ascii="Times New Roman" w:hAnsi="Times New Roman"/>
          <w:sz w:val="24"/>
          <w:szCs w:val="24"/>
          <w:shd w:val="clear" w:color="auto" w:fill="00FFFF"/>
        </w:rPr>
      </w:pPr>
      <w:r w:rsidRPr="00780C6B">
        <w:rPr>
          <w:rFonts w:ascii="Times New Roman" w:hAnsi="Times New Roman"/>
          <w:sz w:val="24"/>
          <w:szCs w:val="24"/>
        </w:rPr>
        <w:t>The quality arrangements for the recognition/validation of the learning outcomes of participants</w:t>
      </w:r>
    </w:p>
    <w:p w14:paraId="0F038FF5" w14:textId="77777777" w:rsidR="00B26960" w:rsidRPr="00780C6B" w:rsidRDefault="00B26960" w:rsidP="009C0C82">
      <w:pPr>
        <w:numPr>
          <w:ilvl w:val="0"/>
          <w:numId w:val="190"/>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final amount of eligible expenses for organisational support and may be of:</w:t>
      </w:r>
    </w:p>
    <w:p w14:paraId="16B6692C"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6EED752E"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26B54865" w14:textId="77777777" w:rsidR="00B26960"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3A706B6" w14:textId="77777777" w:rsidR="00E7257E" w:rsidRPr="00780C6B" w:rsidRDefault="00E7257E" w:rsidP="00E33E61">
      <w:pPr>
        <w:spacing w:after="0"/>
        <w:ind w:left="1276" w:hanging="283"/>
        <w:jc w:val="both"/>
        <w:rPr>
          <w:rFonts w:ascii="Times New Roman" w:hAnsi="Times New Roman"/>
          <w:sz w:val="24"/>
          <w:szCs w:val="24"/>
        </w:rPr>
      </w:pPr>
    </w:p>
    <w:p w14:paraId="29FDA33A" w14:textId="5816F5E1" w:rsidR="00B26960" w:rsidRPr="00780C6B" w:rsidRDefault="00B26960">
      <w:pPr>
        <w:widowControl w:val="0"/>
        <w:spacing w:line="273" w:lineRule="auto"/>
        <w:jc w:val="both"/>
        <w:rPr>
          <w:rFonts w:ascii="Times New Roman" w:hAnsi="Times New Roman"/>
          <w:sz w:val="24"/>
          <w:szCs w:val="24"/>
          <w:u w:val="single"/>
          <w:shd w:val="clear" w:color="auto" w:fill="00FFFF"/>
        </w:rPr>
      </w:pPr>
      <w:r w:rsidRPr="00780C6B">
        <w:rPr>
          <w:rFonts w:ascii="Times New Roman" w:hAnsi="Times New Roman"/>
          <w:b/>
          <w:sz w:val="24"/>
          <w:szCs w:val="24"/>
        </w:rPr>
        <w:lastRenderedPageBreak/>
        <w:t>V. GRANT MODIFICATIONS</w:t>
      </w:r>
      <w:r w:rsidR="008A4345">
        <w:rPr>
          <w:rFonts w:ascii="Times New Roman" w:hAnsi="Times New Roman"/>
          <w:b/>
          <w:sz w:val="24"/>
          <w:szCs w:val="24"/>
        </w:rPr>
        <w:t xml:space="preserve"> (NOT APPLICABLE)</w:t>
      </w: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56BF1FF0"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w:t>
      </w:r>
      <w:r w:rsidR="008A4345">
        <w:rPr>
          <w:rFonts w:ascii="Times New Roman" w:hAnsi="Times New Roman"/>
          <w:sz w:val="24"/>
          <w:szCs w:val="24"/>
        </w:rPr>
        <w:t xml:space="preserve">ts in relation to the Agreement. </w:t>
      </w:r>
      <w:r w:rsidRPr="00780C6B">
        <w:rPr>
          <w:rFonts w:ascii="Times New Roman" w:hAnsi="Times New Roman"/>
          <w:sz w:val="24"/>
          <w:szCs w:val="24"/>
        </w:rPr>
        <w:t xml:space="preserve">Checks and audits aim at verifying whether the beneficiaries managed the grant in respect of the rules set out in the 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491973A0" w14:textId="77777777" w:rsidR="00B26960" w:rsidRPr="00780C6B" w:rsidRDefault="00B26960" w:rsidP="008F42D3">
      <w:pPr>
        <w:pStyle w:val="Sraopastraipa"/>
        <w:numPr>
          <w:ilvl w:val="0"/>
          <w:numId w:val="78"/>
        </w:numPr>
        <w:ind w:left="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Final report check</w:t>
      </w:r>
    </w:p>
    <w:p w14:paraId="7075ADC5" w14:textId="77777777" w:rsidR="00B26960" w:rsidRPr="00780C6B" w:rsidRDefault="00B26960">
      <w:pPr>
        <w:pStyle w:val="Sraopastraipa"/>
        <w:jc w:val="both"/>
        <w:rPr>
          <w:rFonts w:ascii="Times New Roman" w:hAnsi="Times New Roman" w:cs="Times New Roman"/>
          <w:b/>
          <w:kern w:val="1"/>
          <w:sz w:val="24"/>
          <w:szCs w:val="24"/>
        </w:rPr>
      </w:pPr>
    </w:p>
    <w:p w14:paraId="6D9846F0"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05E66671" w14:textId="77777777" w:rsidR="00B26960" w:rsidRPr="00994B87" w:rsidRDefault="00B26960" w:rsidP="008F42D3">
      <w:pPr>
        <w:ind w:left="426"/>
        <w:jc w:val="both"/>
        <w:rPr>
          <w:rFonts w:ascii="Times New Roman" w:hAnsi="Times New Roman"/>
          <w:kern w:val="1"/>
          <w:sz w:val="24"/>
          <w:szCs w:val="24"/>
        </w:rPr>
      </w:pPr>
      <w:r w:rsidRPr="00780C6B">
        <w:rPr>
          <w:rFonts w:ascii="Times New Roman" w:eastAsia="SimSun" w:hAnsi="Times New Roman"/>
          <w:kern w:val="1"/>
          <w:sz w:val="24"/>
          <w:szCs w:val="24"/>
        </w:rPr>
        <w:t xml:space="preserve">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2F4BD43" w14:textId="77777777" w:rsidR="00B26960" w:rsidRPr="001F5BC9" w:rsidRDefault="00B26960" w:rsidP="008F42D3">
      <w:pPr>
        <w:pStyle w:val="Sraopastraipa"/>
        <w:numPr>
          <w:ilvl w:val="0"/>
          <w:numId w:val="77"/>
        </w:numPr>
        <w:tabs>
          <w:tab w:val="left" w:pos="851"/>
        </w:tabs>
        <w:ind w:left="993" w:hanging="426"/>
        <w:jc w:val="both"/>
        <w:rPr>
          <w:rFonts w:ascii="Times New Roman" w:hAnsi="Times New Roman" w:cs="Times New Roman"/>
          <w:kern w:val="1"/>
          <w:sz w:val="24"/>
          <w:szCs w:val="24"/>
        </w:rPr>
      </w:pPr>
      <w:r w:rsidRPr="001F5BC9">
        <w:rPr>
          <w:rFonts w:ascii="Times New Roman" w:hAnsi="Times New Roman" w:cs="Times New Roman"/>
          <w:kern w:val="1"/>
          <w:sz w:val="24"/>
          <w:szCs w:val="24"/>
        </w:rPr>
        <w:t>Unit contributions consumed for budget categories:</w:t>
      </w:r>
    </w:p>
    <w:p w14:paraId="320DA6BB" w14:textId="77777777" w:rsidR="00B26960" w:rsidRPr="001A6DB7" w:rsidRDefault="00B26960">
      <w:pPr>
        <w:pStyle w:val="Sraopastraipa"/>
        <w:numPr>
          <w:ilvl w:val="1"/>
          <w:numId w:val="77"/>
        </w:numPr>
        <w:jc w:val="both"/>
        <w:rPr>
          <w:rFonts w:ascii="Times New Roman" w:hAnsi="Times New Roman" w:cs="Times New Roman"/>
          <w:kern w:val="1"/>
          <w:sz w:val="24"/>
          <w:szCs w:val="24"/>
        </w:rPr>
      </w:pPr>
      <w:r w:rsidRPr="001A6DB7">
        <w:rPr>
          <w:rFonts w:ascii="Times New Roman" w:hAnsi="Times New Roman" w:cs="Times New Roman"/>
          <w:kern w:val="1"/>
          <w:sz w:val="24"/>
          <w:szCs w:val="24"/>
        </w:rPr>
        <w:t>Travel</w:t>
      </w:r>
    </w:p>
    <w:p w14:paraId="42D068B5" w14:textId="77777777" w:rsidR="00B26960" w:rsidRPr="001A6DB7" w:rsidRDefault="00B26960">
      <w:pPr>
        <w:pStyle w:val="Sraopastraipa"/>
        <w:numPr>
          <w:ilvl w:val="1"/>
          <w:numId w:val="77"/>
        </w:numPr>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Organisational support</w:t>
      </w:r>
    </w:p>
    <w:p w14:paraId="3B108FB0" w14:textId="77777777" w:rsidR="00B26960" w:rsidRPr="00A819F8" w:rsidRDefault="00B26960">
      <w:pPr>
        <w:pStyle w:val="Sraopastraipa"/>
        <w:jc w:val="both"/>
        <w:rPr>
          <w:rFonts w:ascii="Times New Roman" w:hAnsi="Times New Roman" w:cs="Times New Roman"/>
          <w:kern w:val="1"/>
          <w:sz w:val="24"/>
          <w:szCs w:val="24"/>
        </w:rPr>
      </w:pPr>
    </w:p>
    <w:p w14:paraId="05652669" w14:textId="77777777" w:rsidR="00B26960" w:rsidRPr="00A819F8" w:rsidRDefault="00B26960" w:rsidP="008F42D3">
      <w:pPr>
        <w:pStyle w:val="Sraopastraipa"/>
        <w:numPr>
          <w:ilvl w:val="0"/>
          <w:numId w:val="77"/>
        </w:numPr>
        <w:tabs>
          <w:tab w:val="left" w:pos="851"/>
        </w:tabs>
        <w:ind w:left="851" w:hanging="28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147F4AF6" w14:textId="77777777" w:rsidR="00B26960" w:rsidRPr="003A408D" w:rsidRDefault="00B26960">
      <w:pPr>
        <w:pStyle w:val="Sraopastraipa"/>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Special needs support</w:t>
      </w:r>
    </w:p>
    <w:p w14:paraId="726B7769" w14:textId="77777777" w:rsidR="00B26960" w:rsidRPr="003A408D" w:rsidRDefault="00B26960">
      <w:pPr>
        <w:pStyle w:val="Sraopastraipa"/>
        <w:jc w:val="both"/>
        <w:rPr>
          <w:rFonts w:ascii="Times New Roman" w:hAnsi="Times New Roman" w:cs="Times New Roman"/>
          <w:kern w:val="1"/>
          <w:sz w:val="24"/>
          <w:szCs w:val="24"/>
        </w:rPr>
      </w:pPr>
    </w:p>
    <w:p w14:paraId="1FD0F241" w14:textId="77777777" w:rsidR="00B26960" w:rsidRPr="003A408D" w:rsidRDefault="00B26960" w:rsidP="008F42D3">
      <w:pPr>
        <w:pStyle w:val="Sraopastraipa"/>
        <w:numPr>
          <w:ilvl w:val="0"/>
          <w:numId w:val="77"/>
        </w:numPr>
        <w:tabs>
          <w:tab w:val="left" w:pos="851"/>
        </w:tabs>
        <w:ind w:left="851"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costs incurred and supporting documents specified in Section  II of this Annex for budget category:</w:t>
      </w:r>
    </w:p>
    <w:p w14:paraId="2DEA6BE0" w14:textId="77777777" w:rsidR="00B26960" w:rsidRDefault="00B26960">
      <w:pPr>
        <w:pStyle w:val="Sraopastraipa"/>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Exceptional costs</w:t>
      </w:r>
    </w:p>
    <w:p w14:paraId="4EDBB471" w14:textId="77777777" w:rsidR="00283257" w:rsidRDefault="00283257" w:rsidP="008F42D3">
      <w:pPr>
        <w:pStyle w:val="Sraopastraipa"/>
        <w:jc w:val="both"/>
        <w:rPr>
          <w:rFonts w:ascii="Times New Roman" w:hAnsi="Times New Roman" w:cs="Times New Roman"/>
          <w:b/>
          <w:kern w:val="1"/>
          <w:sz w:val="24"/>
          <w:szCs w:val="24"/>
        </w:rPr>
      </w:pPr>
    </w:p>
    <w:p w14:paraId="5DA62878" w14:textId="77777777" w:rsidR="00B26960" w:rsidRPr="003A408D" w:rsidRDefault="00B26960" w:rsidP="008F42D3">
      <w:pPr>
        <w:pStyle w:val="Sraopastraipa"/>
        <w:numPr>
          <w:ilvl w:val="0"/>
          <w:numId w:val="78"/>
        </w:numPr>
        <w:ind w:left="426" w:hanging="426"/>
        <w:jc w:val="both"/>
        <w:rPr>
          <w:rFonts w:ascii="Times New Roman" w:hAnsi="Times New Roman" w:cs="Times New Roman"/>
          <w:b/>
          <w:kern w:val="1"/>
          <w:sz w:val="24"/>
          <w:szCs w:val="24"/>
        </w:rPr>
      </w:pPr>
      <w:r w:rsidRPr="003A408D">
        <w:rPr>
          <w:rFonts w:ascii="Times New Roman" w:hAnsi="Times New Roman" w:cs="Times New Roman"/>
          <w:b/>
          <w:kern w:val="1"/>
          <w:sz w:val="24"/>
          <w:szCs w:val="24"/>
        </w:rPr>
        <w:t>Desk check</w:t>
      </w:r>
    </w:p>
    <w:p w14:paraId="4A6B6021" w14:textId="77777777" w:rsidR="00B26960" w:rsidRPr="00780C6B" w:rsidRDefault="00B26960" w:rsidP="008F42D3">
      <w:pPr>
        <w:pStyle w:val="Sraopastraipa"/>
        <w:jc w:val="both"/>
        <w:rPr>
          <w:rFonts w:ascii="Times New Roman" w:hAnsi="Times New Roman" w:cs="Times New Roman"/>
          <w:b/>
          <w:kern w:val="1"/>
          <w:sz w:val="24"/>
          <w:szCs w:val="24"/>
        </w:rPr>
      </w:pPr>
    </w:p>
    <w:p w14:paraId="1453B858"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p>
    <w:p w14:paraId="6AD3C016" w14:textId="77777777"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 for all budget categories.</w:t>
      </w:r>
    </w:p>
    <w:p w14:paraId="587D0E11" w14:textId="77777777" w:rsidR="00B26960" w:rsidRPr="001A6DB7" w:rsidRDefault="00B26960" w:rsidP="00C74462">
      <w:pPr>
        <w:pStyle w:val="Sraopastraipa"/>
        <w:numPr>
          <w:ilvl w:val="0"/>
          <w:numId w:val="78"/>
        </w:numPr>
        <w:tabs>
          <w:tab w:val="left" w:pos="426"/>
        </w:tabs>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 xml:space="preserve">On-the-spot </w:t>
      </w:r>
      <w:r w:rsidRPr="001A6DB7">
        <w:rPr>
          <w:rFonts w:ascii="Times New Roman" w:hAnsi="Times New Roman" w:cs="Times New Roman"/>
          <w:b/>
          <w:sz w:val="24"/>
          <w:szCs w:val="24"/>
        </w:rPr>
        <w:t>checks</w:t>
      </w:r>
    </w:p>
    <w:p w14:paraId="5091889A" w14:textId="77777777" w:rsidR="00B26960" w:rsidRPr="001A6DB7" w:rsidRDefault="00B26960">
      <w:pPr>
        <w:pStyle w:val="Sraopastraipa"/>
        <w:jc w:val="both"/>
        <w:rPr>
          <w:rFonts w:ascii="Times New Roman" w:hAnsi="Times New Roman" w:cs="Times New Roman"/>
          <w:b/>
          <w:kern w:val="1"/>
          <w:sz w:val="24"/>
          <w:szCs w:val="24"/>
        </w:rPr>
      </w:pPr>
    </w:p>
    <w:p w14:paraId="7A326165" w14:textId="77777777"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 available for review by the National Agency original supporting documentation </w:t>
      </w:r>
      <w:r w:rsidR="003F677D">
        <w:rPr>
          <w:rFonts w:ascii="Times New Roman" w:eastAsia="SimSun" w:hAnsi="Times New Roman"/>
          <w:kern w:val="1"/>
          <w:sz w:val="24"/>
          <w:szCs w:val="24"/>
        </w:rPr>
        <w:t>for all budget categories.</w:t>
      </w:r>
    </w:p>
    <w:p w14:paraId="79CF5DA5" w14:textId="77777777" w:rsidR="00B26960" w:rsidRPr="001A6DB7" w:rsidRDefault="00B26960" w:rsidP="008F42D3">
      <w:pPr>
        <w:ind w:left="426"/>
        <w:jc w:val="both"/>
        <w:rPr>
          <w:rFonts w:ascii="Times New Roman" w:eastAsia="SimSun" w:hAnsi="Times New Roman"/>
          <w:b/>
          <w:i/>
          <w:kern w:val="1"/>
          <w:sz w:val="24"/>
          <w:szCs w:val="24"/>
        </w:rPr>
      </w:pPr>
      <w:r w:rsidRPr="001A6DB7">
        <w:rPr>
          <w:rFonts w:ascii="Times New Roman" w:hAnsi="Times New Roman"/>
          <w:sz w:val="24"/>
          <w:szCs w:val="24"/>
        </w:rPr>
        <w:t>There are three types of possible on-the-spot checks:</w:t>
      </w:r>
    </w:p>
    <w:p w14:paraId="234869D2" w14:textId="77777777" w:rsidR="00B26960" w:rsidRPr="001A6DB7" w:rsidRDefault="00B26960" w:rsidP="008F42D3">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2C105FE7" w14:textId="108B330D" w:rsidR="00B26960" w:rsidRPr="00F70C1D" w:rsidRDefault="00B26960" w:rsidP="008F42D3">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w:t>
      </w:r>
      <w:r w:rsidR="008A4345">
        <w:rPr>
          <w:rFonts w:ascii="Times New Roman" w:eastAsia="SimSun" w:hAnsi="Times New Roman"/>
          <w:kern w:val="1"/>
          <w:sz w:val="24"/>
          <w:szCs w:val="24"/>
        </w:rPr>
        <w:t>.</w:t>
      </w:r>
    </w:p>
    <w:p w14:paraId="0B3BE6C1" w14:textId="77777777" w:rsidR="00B26960" w:rsidRPr="00B203B5" w:rsidRDefault="00B26960" w:rsidP="008F42D3">
      <w:pPr>
        <w:numPr>
          <w:ilvl w:val="0"/>
          <w:numId w:val="160"/>
        </w:numPr>
        <w:tabs>
          <w:tab w:val="left" w:pos="851"/>
        </w:tabs>
        <w:ind w:hanging="873"/>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141038AE" w14:textId="77777777" w:rsidR="00B26960" w:rsidRPr="00A819F8" w:rsidRDefault="00B26960" w:rsidP="00C74462">
      <w:pPr>
        <w:ind w:left="851"/>
        <w:jc w:val="both"/>
        <w:rPr>
          <w:rFonts w:ascii="Times New Roman" w:eastAsia="SimSun" w:hAnsi="Times New Roman"/>
          <w:kern w:val="1"/>
          <w:sz w:val="24"/>
          <w:szCs w:val="24"/>
        </w:rPr>
      </w:pPr>
      <w:r w:rsidRPr="00B203B5">
        <w:rPr>
          <w:rFonts w:ascii="Times New Roman" w:hAnsi="Times New Roman"/>
          <w:sz w:val="24"/>
          <w:szCs w:val="24"/>
        </w:rPr>
        <w:t>This check is undertaken after the end of the Project and usually after the final report check.</w:t>
      </w:r>
    </w:p>
    <w:p w14:paraId="4D5B3863" w14:textId="77777777" w:rsidR="00B26960" w:rsidRPr="001F5BC9" w:rsidRDefault="00B26960" w:rsidP="00C74462">
      <w:pPr>
        <w:ind w:left="426"/>
        <w:jc w:val="both"/>
        <w:rPr>
          <w:rFonts w:ascii="Times New Roman" w:eastAsia="SimSun" w:hAnsi="Times New Roman"/>
          <w:b/>
          <w:kern w:val="1"/>
          <w:sz w:val="24"/>
          <w:szCs w:val="24"/>
          <w:shd w:val="clear" w:color="auto" w:fill="00FFFF"/>
        </w:rPr>
      </w:pPr>
      <w:r w:rsidRPr="00A819F8">
        <w:rPr>
          <w:rFonts w:ascii="Times New Roman" w:eastAsia="SimSun" w:hAnsi="Times New Roman"/>
          <w:kern w:val="1"/>
          <w:sz w:val="24"/>
          <w:szCs w:val="24"/>
        </w:rPr>
        <w:t>In addition to providing all supporting documentation, 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the National Agency access to the recording of project expense in the beneficiary accounts.</w:t>
      </w:r>
    </w:p>
    <w:p w14:paraId="70DA0C55" w14:textId="77777777" w:rsidR="008A4345" w:rsidRDefault="00B26960" w:rsidP="007241C3">
      <w:pPr>
        <w:ind w:left="851"/>
        <w:jc w:val="both"/>
        <w:rPr>
          <w:rFonts w:ascii="Times New Roman" w:eastAsia="SimSun" w:hAnsi="Times New Roman"/>
          <w:b/>
          <w:i/>
          <w:kern w:val="1"/>
          <w:sz w:val="24"/>
          <w:szCs w:val="24"/>
          <w:u w:val="single"/>
        </w:rPr>
      </w:pPr>
      <w:r w:rsidRPr="00C74462">
        <w:rPr>
          <w:rFonts w:ascii="Times New Roman" w:eastAsia="SimSun" w:hAnsi="Times New Roman"/>
          <w:b/>
          <w:i/>
          <w:kern w:val="1"/>
          <w:sz w:val="24"/>
          <w:szCs w:val="24"/>
          <w:u w:val="single"/>
        </w:rPr>
        <w:t>System check</w:t>
      </w:r>
    </w:p>
    <w:p w14:paraId="0091BC08" w14:textId="17DC65A1" w:rsidR="00B26960" w:rsidRPr="001F5BC9" w:rsidRDefault="00EA711E" w:rsidP="007241C3">
      <w:pPr>
        <w:ind w:left="851"/>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The system check is performed to establish the beneficiary's compliance with the implementation standards committed to in the framework of the Erasmus+ Programme</w:t>
      </w:r>
      <w:r w:rsidR="008A4345">
        <w:rPr>
          <w:rFonts w:ascii="Times New Roman" w:eastAsia="SimSun" w:hAnsi="Times New Roman"/>
          <w:kern w:val="1"/>
          <w:sz w:val="24"/>
          <w:szCs w:val="24"/>
        </w:rPr>
        <w:t xml:space="preserve">. </w:t>
      </w:r>
      <w:r w:rsidR="00B26960" w:rsidRPr="00184345">
        <w:rPr>
          <w:rFonts w:ascii="Times New Roman" w:eastAsia="SimSun" w:hAnsi="Times New Roman"/>
          <w:kern w:val="1"/>
          <w:sz w:val="24"/>
          <w:szCs w:val="24"/>
        </w:rPr>
        <w:t>The beneficiar</w:t>
      </w:r>
      <w:r w:rsidR="00994B87">
        <w:rPr>
          <w:rFonts w:ascii="Times New Roman" w:eastAsia="SimSun" w:hAnsi="Times New Roman"/>
          <w:kern w:val="1"/>
          <w:sz w:val="24"/>
          <w:szCs w:val="24"/>
        </w:rPr>
        <w:t>ies</w:t>
      </w:r>
      <w:r w:rsidR="00B26960"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00B26960" w:rsidRPr="00994B87">
        <w:rPr>
          <w:rFonts w:ascii="Times New Roman" w:eastAsia="SimSun" w:hAnsi="Times New Roman"/>
          <w:kern w:val="1"/>
          <w:sz w:val="24"/>
          <w:szCs w:val="24"/>
        </w:rPr>
        <w:t xml:space="preserve"> enable National Agency to verify the reality and eligibility of all project activities and participants.</w:t>
      </w:r>
    </w:p>
    <w:sectPr w:rsidR="00B26960" w:rsidRPr="001F5BC9">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A0BF0" w14:textId="77777777" w:rsidR="00076BDA" w:rsidRDefault="00076BDA">
      <w:pPr>
        <w:spacing w:after="0" w:line="240" w:lineRule="auto"/>
      </w:pPr>
      <w:r>
        <w:separator/>
      </w:r>
    </w:p>
  </w:endnote>
  <w:endnote w:type="continuationSeparator" w:id="0">
    <w:p w14:paraId="50EDD1A6" w14:textId="77777777" w:rsidR="00076BDA" w:rsidRDefault="00076BDA">
      <w:pPr>
        <w:spacing w:after="0" w:line="240" w:lineRule="auto"/>
      </w:pPr>
      <w:r>
        <w:continuationSeparator/>
      </w:r>
    </w:p>
  </w:endnote>
  <w:endnote w:type="continuationNotice" w:id="1">
    <w:p w14:paraId="20D5EC2E" w14:textId="77777777" w:rsidR="00076BDA" w:rsidRDefault="00076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1D8A" w14:textId="5575DB24" w:rsidR="003C4BA3" w:rsidRDefault="003C4BA3">
    <w:pPr>
      <w:pStyle w:val="Porat"/>
      <w:jc w:val="right"/>
    </w:pPr>
    <w:r>
      <w:fldChar w:fldCharType="begin"/>
    </w:r>
    <w:r>
      <w:instrText xml:space="preserve"> PAGE   \* MERGEFORMAT </w:instrText>
    </w:r>
    <w:r>
      <w:fldChar w:fldCharType="separate"/>
    </w:r>
    <w:r w:rsidR="009F7B87">
      <w:rPr>
        <w:noProof/>
      </w:rPr>
      <w:t>3</w:t>
    </w:r>
    <w:r>
      <w:rPr>
        <w:noProof/>
      </w:rPr>
      <w:fldChar w:fldCharType="end"/>
    </w:r>
  </w:p>
  <w:p w14:paraId="323AF6E6" w14:textId="77777777" w:rsidR="003C4BA3" w:rsidRDefault="003C4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05C6" w14:textId="77777777" w:rsidR="00076BDA" w:rsidRDefault="00076BDA">
      <w:pPr>
        <w:spacing w:after="0" w:line="240" w:lineRule="auto"/>
      </w:pPr>
      <w:r>
        <w:separator/>
      </w:r>
    </w:p>
  </w:footnote>
  <w:footnote w:type="continuationSeparator" w:id="0">
    <w:p w14:paraId="18637210" w14:textId="77777777" w:rsidR="00076BDA" w:rsidRDefault="00076BDA">
      <w:pPr>
        <w:spacing w:after="0" w:line="240" w:lineRule="auto"/>
      </w:pPr>
      <w:r>
        <w:continuationSeparator/>
      </w:r>
    </w:p>
  </w:footnote>
  <w:footnote w:type="continuationNotice" w:id="1">
    <w:p w14:paraId="50F50C99" w14:textId="77777777" w:rsidR="00076BDA" w:rsidRDefault="00076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15CB" w14:textId="1962C70C" w:rsidR="009F7B87" w:rsidRDefault="009F7B87">
    <w:pPr>
      <w:pStyle w:val="Antrats"/>
      <w:rPr>
        <w:lang w:val="lt-LT"/>
      </w:rPr>
    </w:pPr>
    <w:r>
      <w:rPr>
        <w:lang w:val="lt-LT"/>
      </w:rPr>
      <w:t>2019 KA1 Youth II.2.3_Multi-Financial and contractual rules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76BDA"/>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92394"/>
    <w:rsid w:val="003924D2"/>
    <w:rsid w:val="003946A3"/>
    <w:rsid w:val="003A408D"/>
    <w:rsid w:val="003C4BA3"/>
    <w:rsid w:val="003C688A"/>
    <w:rsid w:val="003C7861"/>
    <w:rsid w:val="003D59C5"/>
    <w:rsid w:val="003E32CB"/>
    <w:rsid w:val="003E70A5"/>
    <w:rsid w:val="003F677D"/>
    <w:rsid w:val="00401B51"/>
    <w:rsid w:val="00404828"/>
    <w:rsid w:val="00412AD7"/>
    <w:rsid w:val="00434CB4"/>
    <w:rsid w:val="00440CF5"/>
    <w:rsid w:val="004476A5"/>
    <w:rsid w:val="00455D85"/>
    <w:rsid w:val="00461DDE"/>
    <w:rsid w:val="00486651"/>
    <w:rsid w:val="00486B60"/>
    <w:rsid w:val="0049148E"/>
    <w:rsid w:val="00491646"/>
    <w:rsid w:val="00493F3C"/>
    <w:rsid w:val="0049461D"/>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37E4E"/>
    <w:rsid w:val="00546C12"/>
    <w:rsid w:val="0054761B"/>
    <w:rsid w:val="0055535A"/>
    <w:rsid w:val="00561BD2"/>
    <w:rsid w:val="00562D6B"/>
    <w:rsid w:val="00575215"/>
    <w:rsid w:val="00576587"/>
    <w:rsid w:val="005779EC"/>
    <w:rsid w:val="00595579"/>
    <w:rsid w:val="005A592E"/>
    <w:rsid w:val="005A77BB"/>
    <w:rsid w:val="005B5CF4"/>
    <w:rsid w:val="005B6FA9"/>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62E9B"/>
    <w:rsid w:val="0067676E"/>
    <w:rsid w:val="00683018"/>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503D8"/>
    <w:rsid w:val="00754C8E"/>
    <w:rsid w:val="007565AD"/>
    <w:rsid w:val="007578CB"/>
    <w:rsid w:val="00760FA6"/>
    <w:rsid w:val="00762434"/>
    <w:rsid w:val="007750D2"/>
    <w:rsid w:val="00780C6B"/>
    <w:rsid w:val="00782BA4"/>
    <w:rsid w:val="0078535F"/>
    <w:rsid w:val="00785E34"/>
    <w:rsid w:val="007902CA"/>
    <w:rsid w:val="00791D28"/>
    <w:rsid w:val="00794DC3"/>
    <w:rsid w:val="00795432"/>
    <w:rsid w:val="007A2DFD"/>
    <w:rsid w:val="007B08CB"/>
    <w:rsid w:val="007B2DCB"/>
    <w:rsid w:val="007C0B24"/>
    <w:rsid w:val="007C2DAC"/>
    <w:rsid w:val="007C5ABE"/>
    <w:rsid w:val="007D061D"/>
    <w:rsid w:val="007E459A"/>
    <w:rsid w:val="007F2486"/>
    <w:rsid w:val="007F4828"/>
    <w:rsid w:val="0082253E"/>
    <w:rsid w:val="00832F72"/>
    <w:rsid w:val="00833534"/>
    <w:rsid w:val="008416C5"/>
    <w:rsid w:val="00841E3D"/>
    <w:rsid w:val="00850479"/>
    <w:rsid w:val="008637E8"/>
    <w:rsid w:val="008838FF"/>
    <w:rsid w:val="00883D99"/>
    <w:rsid w:val="008855CF"/>
    <w:rsid w:val="00886CF9"/>
    <w:rsid w:val="00896724"/>
    <w:rsid w:val="008A0A68"/>
    <w:rsid w:val="008A1E6D"/>
    <w:rsid w:val="008A4345"/>
    <w:rsid w:val="008A45DB"/>
    <w:rsid w:val="008B32AA"/>
    <w:rsid w:val="008C1B95"/>
    <w:rsid w:val="008C1BBB"/>
    <w:rsid w:val="008C5AA5"/>
    <w:rsid w:val="008C748D"/>
    <w:rsid w:val="008D46A4"/>
    <w:rsid w:val="008D7004"/>
    <w:rsid w:val="008F3352"/>
    <w:rsid w:val="008F42D3"/>
    <w:rsid w:val="008F46D7"/>
    <w:rsid w:val="0090061E"/>
    <w:rsid w:val="00902446"/>
    <w:rsid w:val="0090555D"/>
    <w:rsid w:val="00907D79"/>
    <w:rsid w:val="009125D9"/>
    <w:rsid w:val="00914EA5"/>
    <w:rsid w:val="0092127C"/>
    <w:rsid w:val="009241EA"/>
    <w:rsid w:val="00924C6C"/>
    <w:rsid w:val="009273B5"/>
    <w:rsid w:val="0092799C"/>
    <w:rsid w:val="00927A48"/>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9F7B87"/>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6343"/>
    <w:rsid w:val="00AE3A4B"/>
    <w:rsid w:val="00AE4256"/>
    <w:rsid w:val="00B03A3A"/>
    <w:rsid w:val="00B0725E"/>
    <w:rsid w:val="00B07AA1"/>
    <w:rsid w:val="00B11923"/>
    <w:rsid w:val="00B11DA6"/>
    <w:rsid w:val="00B203B5"/>
    <w:rsid w:val="00B22369"/>
    <w:rsid w:val="00B26960"/>
    <w:rsid w:val="00B372F4"/>
    <w:rsid w:val="00B46BF5"/>
    <w:rsid w:val="00B52D24"/>
    <w:rsid w:val="00B63000"/>
    <w:rsid w:val="00B741F4"/>
    <w:rsid w:val="00B80F6B"/>
    <w:rsid w:val="00B81E73"/>
    <w:rsid w:val="00B86CC2"/>
    <w:rsid w:val="00BA1B7A"/>
    <w:rsid w:val="00BB0866"/>
    <w:rsid w:val="00BC0AE4"/>
    <w:rsid w:val="00BD3940"/>
    <w:rsid w:val="00BD784F"/>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92690"/>
    <w:rsid w:val="00C97925"/>
    <w:rsid w:val="00C97AF0"/>
    <w:rsid w:val="00CA4A48"/>
    <w:rsid w:val="00CB2310"/>
    <w:rsid w:val="00CB2662"/>
    <w:rsid w:val="00CB3B20"/>
    <w:rsid w:val="00CB44FA"/>
    <w:rsid w:val="00CC510B"/>
    <w:rsid w:val="00CD05E5"/>
    <w:rsid w:val="00CE7756"/>
    <w:rsid w:val="00CF00D8"/>
    <w:rsid w:val="00CF72E5"/>
    <w:rsid w:val="00D1269A"/>
    <w:rsid w:val="00D270D1"/>
    <w:rsid w:val="00D27798"/>
    <w:rsid w:val="00D41326"/>
    <w:rsid w:val="00D52D82"/>
    <w:rsid w:val="00D555F2"/>
    <w:rsid w:val="00D82B86"/>
    <w:rsid w:val="00D8405A"/>
    <w:rsid w:val="00D85767"/>
    <w:rsid w:val="00D9007A"/>
    <w:rsid w:val="00D934B3"/>
    <w:rsid w:val="00DB2BD0"/>
    <w:rsid w:val="00DB3557"/>
    <w:rsid w:val="00DB4430"/>
    <w:rsid w:val="00DC193A"/>
    <w:rsid w:val="00DE53E3"/>
    <w:rsid w:val="00DF6893"/>
    <w:rsid w:val="00DF7C7A"/>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711E"/>
    <w:rsid w:val="00EC0BC6"/>
    <w:rsid w:val="00EC5D2A"/>
    <w:rsid w:val="00ED1503"/>
    <w:rsid w:val="00ED33DD"/>
    <w:rsid w:val="00ED762C"/>
    <w:rsid w:val="00EE65ED"/>
    <w:rsid w:val="00EF058C"/>
    <w:rsid w:val="00EF60CF"/>
    <w:rsid w:val="00EF62EF"/>
    <w:rsid w:val="00F02800"/>
    <w:rsid w:val="00F04D5A"/>
    <w:rsid w:val="00F17047"/>
    <w:rsid w:val="00F32957"/>
    <w:rsid w:val="00F32A71"/>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200" w:line="276" w:lineRule="auto"/>
    </w:pPr>
    <w:rPr>
      <w:rFonts w:ascii="Calibri" w:eastAsia="Calibri" w:hAnsi="Calibri"/>
      <w:sz w:val="22"/>
      <w:szCs w:val="22"/>
      <w:lang w:eastAsia="ar-SA"/>
    </w:rPr>
  </w:style>
  <w:style w:type="paragraph" w:styleId="Antrat1">
    <w:name w:val="heading 1"/>
    <w:basedOn w:val="prastasis"/>
    <w:next w:val="Pagrindinistekstas"/>
    <w:qFormat/>
    <w:pPr>
      <w:keepNext/>
      <w:keepLines/>
      <w:numPr>
        <w:numId w:val="1"/>
      </w:numPr>
      <w:spacing w:before="480" w:after="0"/>
      <w:outlineLvl w:val="0"/>
    </w:pPr>
    <w:rPr>
      <w:rFonts w:ascii="Cambria" w:hAnsi="Cambria" w:cs="font218"/>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ipersaitas">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683018"/>
    <w:rPr>
      <w:sz w:val="16"/>
      <w:szCs w:val="16"/>
    </w:rPr>
  </w:style>
  <w:style w:type="paragraph" w:styleId="Komentarotekstas">
    <w:name w:val="annotation text"/>
    <w:basedOn w:val="prastasis"/>
    <w:link w:val="KomentarotekstasDiagrama"/>
    <w:uiPriority w:val="99"/>
    <w:semiHidden/>
    <w:unhideWhenUsed/>
    <w:rsid w:val="00683018"/>
    <w:rPr>
      <w:sz w:val="20"/>
      <w:szCs w:val="20"/>
    </w:rPr>
  </w:style>
  <w:style w:type="character" w:customStyle="1" w:styleId="KomentarotekstasDiagrama">
    <w:name w:val="Komentaro tekstas Diagrama"/>
    <w:link w:val="Komentarotekstas"/>
    <w:uiPriority w:val="99"/>
    <w:semiHidden/>
    <w:rsid w:val="00683018"/>
    <w:rPr>
      <w:rFonts w:ascii="Calibri" w:eastAsia="Calibri" w:hAnsi="Calibri"/>
      <w:lang w:eastAsia="ar-SA"/>
    </w:rPr>
  </w:style>
  <w:style w:type="paragraph" w:styleId="Komentarotema">
    <w:name w:val="annotation subject"/>
    <w:basedOn w:val="Komentarotekstas"/>
    <w:next w:val="Komentarotekstas"/>
    <w:link w:val="KomentarotemaDiagrama"/>
    <w:uiPriority w:val="99"/>
    <w:semiHidden/>
    <w:unhideWhenUsed/>
    <w:rsid w:val="00683018"/>
    <w:rPr>
      <w:b/>
      <w:bCs/>
    </w:rPr>
  </w:style>
  <w:style w:type="character" w:customStyle="1" w:styleId="KomentarotemaDiagrama">
    <w:name w:val="Komentaro tema Diagrama"/>
    <w:link w:val="Komentarotema"/>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DB032E8A-57C2-42AA-836C-6E79D776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11677</Words>
  <Characters>6657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18298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loreta</cp:lastModifiedBy>
  <cp:revision>5</cp:revision>
  <cp:lastPrinted>2019-02-08T13:27:00Z</cp:lastPrinted>
  <dcterms:created xsi:type="dcterms:W3CDTF">2019-03-05T12:37:00Z</dcterms:created>
  <dcterms:modified xsi:type="dcterms:W3CDTF">2019-05-23T06:02:00Z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