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1B43" w14:textId="77777777" w:rsidR="00292462" w:rsidRPr="002F1077" w:rsidRDefault="00292462" w:rsidP="00292462">
      <w:pPr>
        <w:jc w:val="both"/>
        <w:rPr>
          <w:b/>
          <w:bCs/>
          <w:color w:val="000000"/>
          <w:sz w:val="22"/>
          <w:szCs w:val="22"/>
        </w:rPr>
      </w:pPr>
    </w:p>
    <w:p w14:paraId="1B16B1C3" w14:textId="77777777" w:rsidR="00292462" w:rsidRPr="002F1077" w:rsidRDefault="00292462" w:rsidP="00292462">
      <w:pPr>
        <w:jc w:val="center"/>
        <w:rPr>
          <w:b/>
          <w:bCs/>
          <w:color w:val="000000"/>
          <w:sz w:val="22"/>
          <w:szCs w:val="22"/>
        </w:rPr>
      </w:pPr>
      <w:r w:rsidRPr="002F1077">
        <w:rPr>
          <w:b/>
          <w:bCs/>
          <w:noProof/>
          <w:color w:val="000000"/>
          <w:sz w:val="22"/>
          <w:szCs w:val="22"/>
          <w:lang w:eastAsia="lt-LT"/>
        </w:rPr>
        <w:drawing>
          <wp:inline distT="0" distB="0" distL="0" distR="0" wp14:anchorId="7DD8BA00" wp14:editId="7E648323">
            <wp:extent cx="2301240" cy="740208"/>
            <wp:effectExtent l="0" t="0" r="3810" b="317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591" cy="757690"/>
                    </a:xfrm>
                    <a:prstGeom prst="rect">
                      <a:avLst/>
                    </a:prstGeom>
                  </pic:spPr>
                </pic:pic>
              </a:graphicData>
            </a:graphic>
          </wp:inline>
        </w:drawing>
      </w:r>
    </w:p>
    <w:p w14:paraId="50AE36D8" w14:textId="77777777" w:rsidR="00292462" w:rsidRPr="002F1077" w:rsidRDefault="00292462" w:rsidP="00292462">
      <w:pPr>
        <w:jc w:val="center"/>
        <w:rPr>
          <w:b/>
          <w:bCs/>
          <w:color w:val="000000"/>
          <w:sz w:val="22"/>
          <w:szCs w:val="22"/>
        </w:rPr>
      </w:pPr>
    </w:p>
    <w:p w14:paraId="467ACE5E" w14:textId="77777777" w:rsidR="00292462" w:rsidRPr="002F1077" w:rsidRDefault="00292462" w:rsidP="00292462">
      <w:pPr>
        <w:jc w:val="center"/>
        <w:rPr>
          <w:b/>
          <w:bCs/>
          <w:color w:val="000000"/>
          <w:sz w:val="22"/>
          <w:szCs w:val="22"/>
        </w:rPr>
      </w:pPr>
    </w:p>
    <w:p w14:paraId="704BB414" w14:textId="77777777" w:rsidR="00292462" w:rsidRPr="002F1077" w:rsidRDefault="00292462" w:rsidP="00292462">
      <w:pPr>
        <w:jc w:val="center"/>
        <w:rPr>
          <w:b/>
          <w:bCs/>
          <w:color w:val="000000"/>
          <w:sz w:val="22"/>
          <w:szCs w:val="22"/>
        </w:rPr>
      </w:pPr>
    </w:p>
    <w:p w14:paraId="23484B7E" w14:textId="77777777" w:rsidR="00292462" w:rsidRPr="002F1077" w:rsidRDefault="00292462" w:rsidP="00292462">
      <w:pPr>
        <w:jc w:val="center"/>
        <w:rPr>
          <w:b/>
          <w:bCs/>
          <w:color w:val="000000"/>
          <w:sz w:val="22"/>
          <w:szCs w:val="22"/>
        </w:rPr>
      </w:pPr>
    </w:p>
    <w:p w14:paraId="2784EDBA" w14:textId="77777777" w:rsidR="00292462" w:rsidRPr="002F1077" w:rsidRDefault="00292462" w:rsidP="00292462">
      <w:pPr>
        <w:jc w:val="center"/>
        <w:rPr>
          <w:b/>
          <w:bCs/>
          <w:color w:val="000000"/>
          <w:sz w:val="22"/>
          <w:szCs w:val="22"/>
        </w:rPr>
      </w:pPr>
      <w:r w:rsidRPr="002F1077">
        <w:rPr>
          <w:b/>
          <w:bCs/>
          <w:color w:val="000000"/>
          <w:sz w:val="22"/>
          <w:szCs w:val="22"/>
        </w:rPr>
        <w:t xml:space="preserve">NUOMONĖ </w:t>
      </w:r>
    </w:p>
    <w:p w14:paraId="31A0C0F4" w14:textId="77777777" w:rsidR="00292462" w:rsidRPr="002F1077" w:rsidRDefault="00292462" w:rsidP="00292462">
      <w:pPr>
        <w:jc w:val="center"/>
        <w:rPr>
          <w:b/>
          <w:bCs/>
          <w:color w:val="000000"/>
          <w:sz w:val="22"/>
          <w:szCs w:val="22"/>
        </w:rPr>
      </w:pPr>
    </w:p>
    <w:p w14:paraId="7F1715F2" w14:textId="77777777" w:rsidR="00292462" w:rsidRPr="002F1077" w:rsidRDefault="00292462" w:rsidP="00292462">
      <w:pPr>
        <w:jc w:val="center"/>
        <w:rPr>
          <w:sz w:val="36"/>
          <w:szCs w:val="36"/>
        </w:rPr>
      </w:pPr>
      <w:r w:rsidRPr="002F1077">
        <w:rPr>
          <w:sz w:val="36"/>
          <w:szCs w:val="36"/>
        </w:rPr>
        <w:t xml:space="preserve">DĖL VIEŠOJO SEKTORIAUS SKIRIAMO FINANSAVIMO NEPAVALDŽIOMS INSTITUCIJOMS KONKURSO AR VIEŠŲJŲ PIRKIMŲ BŪDU </w:t>
      </w:r>
    </w:p>
    <w:p w14:paraId="33B1E5CB" w14:textId="77777777" w:rsidR="00292462" w:rsidRPr="002F1077" w:rsidRDefault="00292462" w:rsidP="00292462">
      <w:pPr>
        <w:jc w:val="center"/>
        <w:rPr>
          <w:b/>
          <w:bCs/>
          <w:color w:val="000000"/>
          <w:sz w:val="36"/>
          <w:szCs w:val="36"/>
        </w:rPr>
      </w:pPr>
      <w:r w:rsidRPr="002F1077">
        <w:rPr>
          <w:sz w:val="36"/>
          <w:szCs w:val="36"/>
        </w:rPr>
        <w:t>GALIMYBIŲ PALYGINIMO</w:t>
      </w:r>
    </w:p>
    <w:p w14:paraId="4AC96068" w14:textId="77777777" w:rsidR="00292462" w:rsidRPr="002F1077" w:rsidRDefault="00292462" w:rsidP="00292462">
      <w:pPr>
        <w:jc w:val="both"/>
        <w:rPr>
          <w:b/>
          <w:bCs/>
          <w:color w:val="000000"/>
          <w:sz w:val="22"/>
          <w:szCs w:val="22"/>
        </w:rPr>
      </w:pPr>
    </w:p>
    <w:p w14:paraId="2A845072" w14:textId="77777777" w:rsidR="00292462" w:rsidRPr="002F1077" w:rsidRDefault="00292462" w:rsidP="00292462">
      <w:pPr>
        <w:jc w:val="both"/>
        <w:rPr>
          <w:b/>
          <w:bCs/>
          <w:color w:val="000000"/>
          <w:sz w:val="22"/>
          <w:szCs w:val="22"/>
        </w:rPr>
      </w:pPr>
    </w:p>
    <w:p w14:paraId="310EF703" w14:textId="77777777" w:rsidR="00292462" w:rsidRPr="002F1077" w:rsidRDefault="00292462" w:rsidP="00292462">
      <w:pPr>
        <w:jc w:val="both"/>
        <w:rPr>
          <w:b/>
          <w:bCs/>
          <w:color w:val="000000"/>
          <w:sz w:val="22"/>
          <w:szCs w:val="22"/>
        </w:rPr>
      </w:pPr>
    </w:p>
    <w:p w14:paraId="26270083" w14:textId="77777777" w:rsidR="00292462" w:rsidRPr="002F1077" w:rsidRDefault="00292462" w:rsidP="00292462">
      <w:pPr>
        <w:jc w:val="both"/>
        <w:rPr>
          <w:b/>
          <w:bCs/>
          <w:color w:val="000000"/>
          <w:sz w:val="22"/>
          <w:szCs w:val="22"/>
        </w:rPr>
      </w:pPr>
    </w:p>
    <w:p w14:paraId="414B73F0" w14:textId="77777777" w:rsidR="00292462" w:rsidRPr="002F1077" w:rsidRDefault="00292462" w:rsidP="00292462">
      <w:pPr>
        <w:jc w:val="both"/>
        <w:rPr>
          <w:b/>
          <w:bCs/>
          <w:color w:val="000000"/>
          <w:sz w:val="22"/>
          <w:szCs w:val="22"/>
        </w:rPr>
      </w:pPr>
    </w:p>
    <w:p w14:paraId="06AB8992" w14:textId="77777777" w:rsidR="00292462" w:rsidRPr="002F1077" w:rsidRDefault="00292462" w:rsidP="00292462">
      <w:pPr>
        <w:jc w:val="both"/>
        <w:rPr>
          <w:b/>
          <w:bCs/>
          <w:color w:val="000000"/>
          <w:sz w:val="22"/>
          <w:szCs w:val="22"/>
        </w:rPr>
      </w:pPr>
    </w:p>
    <w:p w14:paraId="7DC94F2C" w14:textId="77777777" w:rsidR="00292462" w:rsidRPr="002F1077" w:rsidRDefault="00292462" w:rsidP="00292462">
      <w:pPr>
        <w:jc w:val="both"/>
        <w:rPr>
          <w:b/>
          <w:bCs/>
          <w:color w:val="000000"/>
          <w:sz w:val="22"/>
          <w:szCs w:val="22"/>
        </w:rPr>
      </w:pPr>
    </w:p>
    <w:p w14:paraId="2EEF4079" w14:textId="77777777" w:rsidR="00292462" w:rsidRPr="002F1077" w:rsidRDefault="00292462" w:rsidP="00292462">
      <w:pPr>
        <w:jc w:val="both"/>
        <w:rPr>
          <w:color w:val="000000"/>
          <w:sz w:val="22"/>
          <w:szCs w:val="22"/>
        </w:rPr>
      </w:pPr>
      <w:r w:rsidRPr="002F1077">
        <w:rPr>
          <w:color w:val="000000"/>
          <w:sz w:val="22"/>
          <w:szCs w:val="22"/>
        </w:rPr>
        <w:t>Jaunimo reikalų departamentui prie LR socialinės apsaugos ir darbo ministerijos</w:t>
      </w:r>
    </w:p>
    <w:p w14:paraId="2B89349B" w14:textId="77777777" w:rsidR="00292462" w:rsidRPr="002F1077" w:rsidRDefault="00292462" w:rsidP="00292462">
      <w:pPr>
        <w:jc w:val="both"/>
        <w:rPr>
          <w:color w:val="000000"/>
          <w:sz w:val="22"/>
          <w:szCs w:val="22"/>
        </w:rPr>
      </w:pPr>
    </w:p>
    <w:p w14:paraId="49B3DF32" w14:textId="77777777" w:rsidR="00292462" w:rsidRPr="002F1077" w:rsidRDefault="00292462" w:rsidP="00292462">
      <w:pPr>
        <w:jc w:val="both"/>
        <w:rPr>
          <w:color w:val="000000"/>
          <w:sz w:val="22"/>
          <w:szCs w:val="22"/>
        </w:rPr>
      </w:pPr>
      <w:r w:rsidRPr="002F1077">
        <w:rPr>
          <w:color w:val="000000"/>
          <w:sz w:val="22"/>
          <w:szCs w:val="22"/>
        </w:rPr>
        <w:t xml:space="preserve">2021 m., Vilnius </w:t>
      </w:r>
    </w:p>
    <w:p w14:paraId="1486668C" w14:textId="77777777" w:rsidR="00292462" w:rsidRPr="002F1077" w:rsidRDefault="00292462" w:rsidP="00292462">
      <w:pPr>
        <w:jc w:val="both"/>
        <w:rPr>
          <w:b/>
          <w:bCs/>
          <w:color w:val="000000"/>
          <w:sz w:val="22"/>
          <w:szCs w:val="22"/>
        </w:rPr>
      </w:pPr>
    </w:p>
    <w:p w14:paraId="0318B31F" w14:textId="77777777" w:rsidR="00292462" w:rsidRPr="002F1077" w:rsidRDefault="00292462" w:rsidP="00292462">
      <w:pPr>
        <w:jc w:val="both"/>
        <w:rPr>
          <w:b/>
          <w:bCs/>
          <w:color w:val="000000"/>
          <w:sz w:val="22"/>
          <w:szCs w:val="22"/>
        </w:rPr>
      </w:pPr>
    </w:p>
    <w:p w14:paraId="659C70D2" w14:textId="77777777" w:rsidR="00292462" w:rsidRPr="002F1077" w:rsidRDefault="00292462" w:rsidP="00292462">
      <w:pPr>
        <w:jc w:val="both"/>
        <w:rPr>
          <w:b/>
          <w:bCs/>
          <w:color w:val="000000"/>
          <w:sz w:val="22"/>
          <w:szCs w:val="22"/>
        </w:rPr>
      </w:pPr>
    </w:p>
    <w:p w14:paraId="3DA109D9" w14:textId="77777777" w:rsidR="00292462" w:rsidRPr="002F1077" w:rsidRDefault="00292462" w:rsidP="00292462">
      <w:pPr>
        <w:jc w:val="both"/>
        <w:rPr>
          <w:b/>
          <w:bCs/>
          <w:color w:val="000000"/>
          <w:sz w:val="22"/>
          <w:szCs w:val="22"/>
        </w:rPr>
      </w:pPr>
    </w:p>
    <w:p w14:paraId="6603A757" w14:textId="77777777" w:rsidR="00292462" w:rsidRPr="002F1077" w:rsidRDefault="00292462" w:rsidP="00292462">
      <w:pPr>
        <w:jc w:val="both"/>
        <w:rPr>
          <w:b/>
          <w:bCs/>
          <w:color w:val="000000"/>
          <w:sz w:val="22"/>
          <w:szCs w:val="22"/>
        </w:rPr>
      </w:pPr>
    </w:p>
    <w:p w14:paraId="3537A8D2" w14:textId="77777777" w:rsidR="00292462" w:rsidRPr="002F1077" w:rsidRDefault="00292462" w:rsidP="00292462">
      <w:pPr>
        <w:jc w:val="both"/>
        <w:rPr>
          <w:b/>
          <w:bCs/>
          <w:color w:val="000000"/>
          <w:sz w:val="22"/>
          <w:szCs w:val="22"/>
        </w:rPr>
      </w:pPr>
    </w:p>
    <w:p w14:paraId="33544F90" w14:textId="77777777" w:rsidR="00292462" w:rsidRPr="002F1077" w:rsidRDefault="00292462" w:rsidP="00292462">
      <w:pPr>
        <w:jc w:val="both"/>
        <w:rPr>
          <w:b/>
          <w:bCs/>
          <w:color w:val="000000"/>
          <w:sz w:val="22"/>
          <w:szCs w:val="22"/>
        </w:rPr>
      </w:pPr>
    </w:p>
    <w:p w14:paraId="447D27E5" w14:textId="77777777" w:rsidR="00292462" w:rsidRPr="002F1077" w:rsidRDefault="00292462" w:rsidP="00292462">
      <w:pPr>
        <w:jc w:val="both"/>
        <w:rPr>
          <w:b/>
          <w:bCs/>
          <w:color w:val="000000"/>
          <w:sz w:val="22"/>
          <w:szCs w:val="22"/>
        </w:rPr>
      </w:pPr>
    </w:p>
    <w:p w14:paraId="10705B34" w14:textId="77777777" w:rsidR="00292462" w:rsidRPr="002F1077" w:rsidRDefault="00292462" w:rsidP="00292462">
      <w:pPr>
        <w:jc w:val="both"/>
        <w:rPr>
          <w:b/>
          <w:bCs/>
          <w:color w:val="000000"/>
          <w:sz w:val="22"/>
          <w:szCs w:val="22"/>
        </w:rPr>
      </w:pPr>
    </w:p>
    <w:p w14:paraId="416799A8" w14:textId="77777777" w:rsidR="00292462" w:rsidRPr="002F1077" w:rsidRDefault="00292462" w:rsidP="00292462">
      <w:pPr>
        <w:jc w:val="both"/>
        <w:rPr>
          <w:b/>
          <w:bCs/>
          <w:color w:val="000000"/>
          <w:sz w:val="22"/>
          <w:szCs w:val="22"/>
        </w:rPr>
      </w:pPr>
    </w:p>
    <w:p w14:paraId="3E7E8B9C" w14:textId="77777777" w:rsidR="00292462" w:rsidRPr="002F1077" w:rsidRDefault="00292462" w:rsidP="00292462">
      <w:pPr>
        <w:jc w:val="both"/>
        <w:rPr>
          <w:b/>
          <w:bCs/>
          <w:color w:val="000000"/>
          <w:sz w:val="22"/>
          <w:szCs w:val="22"/>
        </w:rPr>
      </w:pPr>
    </w:p>
    <w:p w14:paraId="17BEC7C0" w14:textId="77777777" w:rsidR="00292462" w:rsidRPr="002F1077" w:rsidRDefault="00292462" w:rsidP="00292462">
      <w:pPr>
        <w:jc w:val="both"/>
        <w:rPr>
          <w:b/>
          <w:bCs/>
          <w:color w:val="000000"/>
          <w:sz w:val="22"/>
          <w:szCs w:val="22"/>
        </w:rPr>
      </w:pPr>
    </w:p>
    <w:p w14:paraId="0D01CFB1" w14:textId="77777777" w:rsidR="00292462" w:rsidRPr="002F1077" w:rsidRDefault="00292462" w:rsidP="00292462">
      <w:pPr>
        <w:jc w:val="both"/>
        <w:rPr>
          <w:b/>
          <w:bCs/>
          <w:color w:val="000000"/>
          <w:sz w:val="22"/>
          <w:szCs w:val="22"/>
        </w:rPr>
      </w:pPr>
    </w:p>
    <w:p w14:paraId="198982F5" w14:textId="77777777" w:rsidR="00292462" w:rsidRPr="002F1077" w:rsidRDefault="00292462" w:rsidP="00292462">
      <w:pPr>
        <w:jc w:val="both"/>
        <w:rPr>
          <w:b/>
          <w:bCs/>
          <w:color w:val="000000"/>
          <w:sz w:val="22"/>
          <w:szCs w:val="22"/>
        </w:rPr>
      </w:pPr>
    </w:p>
    <w:p w14:paraId="4B71B9AF" w14:textId="77777777" w:rsidR="00292462" w:rsidRPr="002F1077" w:rsidRDefault="00292462" w:rsidP="00292462">
      <w:pPr>
        <w:jc w:val="both"/>
        <w:rPr>
          <w:b/>
          <w:bCs/>
          <w:color w:val="000000"/>
          <w:sz w:val="22"/>
          <w:szCs w:val="22"/>
        </w:rPr>
      </w:pPr>
    </w:p>
    <w:p w14:paraId="64ED4FC1" w14:textId="77777777" w:rsidR="00292462" w:rsidRPr="002F1077" w:rsidRDefault="00292462" w:rsidP="00292462">
      <w:pPr>
        <w:jc w:val="both"/>
        <w:rPr>
          <w:b/>
          <w:bCs/>
          <w:color w:val="000000"/>
          <w:sz w:val="22"/>
          <w:szCs w:val="22"/>
        </w:rPr>
      </w:pPr>
    </w:p>
    <w:p w14:paraId="7F198F81" w14:textId="77777777" w:rsidR="00292462" w:rsidRPr="002F1077" w:rsidRDefault="00292462" w:rsidP="00292462">
      <w:pPr>
        <w:jc w:val="both"/>
        <w:rPr>
          <w:b/>
          <w:bCs/>
          <w:color w:val="000000"/>
          <w:sz w:val="22"/>
          <w:szCs w:val="22"/>
        </w:rPr>
      </w:pPr>
    </w:p>
    <w:p w14:paraId="12A33363" w14:textId="77777777" w:rsidR="00292462" w:rsidRPr="002F1077" w:rsidRDefault="00292462" w:rsidP="00292462">
      <w:pPr>
        <w:jc w:val="both"/>
        <w:rPr>
          <w:b/>
          <w:bCs/>
          <w:color w:val="000000"/>
          <w:sz w:val="22"/>
          <w:szCs w:val="22"/>
        </w:rPr>
      </w:pPr>
    </w:p>
    <w:p w14:paraId="19F7299E" w14:textId="77777777" w:rsidR="00292462" w:rsidRPr="002F1077" w:rsidRDefault="00292462" w:rsidP="00292462">
      <w:pPr>
        <w:jc w:val="both"/>
        <w:rPr>
          <w:b/>
          <w:bCs/>
          <w:color w:val="000000"/>
          <w:sz w:val="22"/>
          <w:szCs w:val="22"/>
        </w:rPr>
      </w:pPr>
    </w:p>
    <w:p w14:paraId="3A046545" w14:textId="77777777" w:rsidR="00292462" w:rsidRPr="002F1077" w:rsidRDefault="00292462" w:rsidP="00292462">
      <w:pPr>
        <w:jc w:val="both"/>
        <w:rPr>
          <w:b/>
          <w:bCs/>
          <w:color w:val="000000"/>
          <w:sz w:val="22"/>
          <w:szCs w:val="22"/>
        </w:rPr>
      </w:pPr>
    </w:p>
    <w:p w14:paraId="55ADDDDC" w14:textId="77777777" w:rsidR="00292462" w:rsidRPr="002F1077" w:rsidRDefault="00292462" w:rsidP="00292462">
      <w:pPr>
        <w:jc w:val="both"/>
        <w:rPr>
          <w:b/>
          <w:bCs/>
          <w:color w:val="000000"/>
          <w:sz w:val="22"/>
          <w:szCs w:val="22"/>
        </w:rPr>
      </w:pPr>
    </w:p>
    <w:p w14:paraId="0A2519F1" w14:textId="77777777" w:rsidR="00292462" w:rsidRPr="002F1077" w:rsidRDefault="00292462" w:rsidP="00292462">
      <w:pPr>
        <w:jc w:val="both"/>
        <w:rPr>
          <w:b/>
          <w:bCs/>
          <w:color w:val="000000"/>
          <w:sz w:val="22"/>
          <w:szCs w:val="22"/>
        </w:rPr>
      </w:pPr>
    </w:p>
    <w:p w14:paraId="4C60DDEF" w14:textId="77777777" w:rsidR="00292462" w:rsidRPr="002F1077" w:rsidRDefault="00292462" w:rsidP="00292462">
      <w:pPr>
        <w:jc w:val="both"/>
        <w:rPr>
          <w:b/>
          <w:bCs/>
          <w:color w:val="000000"/>
          <w:sz w:val="22"/>
          <w:szCs w:val="22"/>
        </w:rPr>
      </w:pPr>
    </w:p>
    <w:p w14:paraId="3B2EFA2F" w14:textId="77777777" w:rsidR="00292462" w:rsidRPr="002F1077" w:rsidRDefault="00292462" w:rsidP="00292462">
      <w:pPr>
        <w:jc w:val="both"/>
        <w:rPr>
          <w:b/>
          <w:bCs/>
          <w:color w:val="000000"/>
          <w:sz w:val="22"/>
          <w:szCs w:val="22"/>
        </w:rPr>
      </w:pPr>
    </w:p>
    <w:p w14:paraId="1440A72E" w14:textId="77777777" w:rsidR="00292462" w:rsidRPr="002F1077" w:rsidRDefault="00292462" w:rsidP="00292462">
      <w:pPr>
        <w:jc w:val="both"/>
        <w:rPr>
          <w:b/>
          <w:bCs/>
          <w:color w:val="000000"/>
          <w:sz w:val="22"/>
          <w:szCs w:val="22"/>
        </w:rPr>
      </w:pPr>
    </w:p>
    <w:p w14:paraId="0F5A5BD7" w14:textId="77777777" w:rsidR="00292462" w:rsidRPr="002F1077" w:rsidRDefault="00292462" w:rsidP="00292462">
      <w:pPr>
        <w:rPr>
          <w:b/>
          <w:bCs/>
          <w:color w:val="000000"/>
          <w:sz w:val="22"/>
          <w:szCs w:val="22"/>
        </w:rPr>
      </w:pPr>
      <w:r w:rsidRPr="002F1077">
        <w:rPr>
          <w:b/>
          <w:bCs/>
          <w:color w:val="000000"/>
          <w:sz w:val="22"/>
          <w:szCs w:val="22"/>
        </w:rPr>
        <w:br w:type="page"/>
      </w:r>
    </w:p>
    <w:p w14:paraId="18820F90" w14:textId="77777777" w:rsidR="00292462" w:rsidRPr="002F1077" w:rsidRDefault="00292462" w:rsidP="00292462">
      <w:pPr>
        <w:jc w:val="both"/>
      </w:pPr>
    </w:p>
    <w:p w14:paraId="509BD397" w14:textId="77777777" w:rsidR="00292462" w:rsidRPr="002F1077" w:rsidRDefault="00292462" w:rsidP="00292462">
      <w:pPr>
        <w:ind w:firstLine="720"/>
        <w:jc w:val="both"/>
        <w:rPr>
          <w:bCs/>
        </w:rPr>
      </w:pPr>
      <w:r w:rsidRPr="002F1077">
        <w:rPr>
          <w:bCs/>
        </w:rPr>
        <w:t xml:space="preserve">Viešojo sektoriaus asignavimų valdytojas ar bet kuri valstybės  institucija ir įstaiga gali pasirinkti įvairius būdus kaip skirti lėšas ar pirkti paslaugas iš nepavaldžių organizacijų ar fizinių asmenų, tačiau svarbiausia, kad procesas būtų vykdomas laikantis lygiateisiškumo, nediskriminavimo, abipusio pripažinimo, proporcingumo ir skaidrumo principų. Būtina akcentuoti, skiriamas finansavimas negali būti laikoma „paramos skyrimu“, kadangi valstybės institucijoms paramą teikti draudžiama. Viešojo sektoriaus asignavimų valdytojai savo valdomų programinių biudžetų lėšas nepavaldžioms </w:t>
      </w:r>
      <w:proofErr w:type="spellStart"/>
      <w:r w:rsidRPr="002F1077">
        <w:rPr>
          <w:bCs/>
        </w:rPr>
        <w:t>insitucijoms</w:t>
      </w:r>
      <w:proofErr w:type="spellEnd"/>
      <w:r w:rsidRPr="002F1077">
        <w:rPr>
          <w:bCs/>
        </w:rPr>
        <w:t xml:space="preserve"> gali skirti įstatymuose numatytais skirtingais būdais kaip viešieji pirkimai, subsidijos, dotacijos, projektų konkursai ir t.t. Šiame dokumente pateiksime nuomone dėl dviejų būdų, kurie šiandien aktualūs jaunimo nevyriausybinėms organizacijoms, </w:t>
      </w:r>
      <w:proofErr w:type="spellStart"/>
      <w:r w:rsidRPr="002F1077">
        <w:rPr>
          <w:bCs/>
        </w:rPr>
        <w:t>t.y</w:t>
      </w:r>
      <w:proofErr w:type="spellEnd"/>
      <w:r w:rsidRPr="002F1077">
        <w:rPr>
          <w:bCs/>
        </w:rPr>
        <w:t xml:space="preserve">. projektų konkurso ir viešųjų pirkimų.   </w:t>
      </w:r>
    </w:p>
    <w:p w14:paraId="05111E40" w14:textId="77777777" w:rsidR="00292462" w:rsidRPr="002F1077" w:rsidRDefault="00292462" w:rsidP="00292462">
      <w:pPr>
        <w:jc w:val="both"/>
        <w:rPr>
          <w:bCs/>
        </w:rPr>
      </w:pPr>
    </w:p>
    <w:p w14:paraId="7CC24148" w14:textId="77777777" w:rsidR="00292462" w:rsidRPr="002F1077" w:rsidRDefault="00292462" w:rsidP="00292462">
      <w:pPr>
        <w:jc w:val="both"/>
        <w:rPr>
          <w:bCs/>
        </w:rPr>
      </w:pPr>
    </w:p>
    <w:p w14:paraId="434F64A9" w14:textId="77777777" w:rsidR="00292462" w:rsidRPr="002F1077" w:rsidRDefault="00292462" w:rsidP="00292462">
      <w:pPr>
        <w:jc w:val="both"/>
        <w:rPr>
          <w:b/>
          <w:u w:val="single"/>
        </w:rPr>
      </w:pPr>
      <w:r w:rsidRPr="002F1077">
        <w:rPr>
          <w:b/>
          <w:u w:val="single"/>
        </w:rPr>
        <w:t xml:space="preserve">Projektų konkursai </w:t>
      </w:r>
    </w:p>
    <w:p w14:paraId="57D58AD3" w14:textId="77777777" w:rsidR="00292462" w:rsidRPr="002F1077" w:rsidRDefault="00292462" w:rsidP="00292462">
      <w:pPr>
        <w:jc w:val="both"/>
        <w:rPr>
          <w:b/>
          <w:u w:val="single"/>
        </w:rPr>
      </w:pPr>
    </w:p>
    <w:p w14:paraId="363B9BEA" w14:textId="77777777" w:rsidR="00292462" w:rsidRPr="002F1077" w:rsidRDefault="00292462" w:rsidP="00292462">
      <w:pPr>
        <w:jc w:val="both"/>
        <w:rPr>
          <w:lang w:eastAsia="zh-CN"/>
        </w:rPr>
      </w:pPr>
      <w:r w:rsidRPr="002F1077">
        <w:t xml:space="preserve">Programinis biudžetas – tai biudžetas, kuris sudaromas </w:t>
      </w:r>
      <w:r w:rsidRPr="002F1077">
        <w:rPr>
          <w:lang w:eastAsia="zh-CN"/>
        </w:rPr>
        <w:t>pagal programas ir kuriame dėmesys skiriamas veikloms, skirtoms apibrėžtai misijai ir strateginiams tikslams įgyvendinti. Programų įgyvendinimui asignavimų valdytojai gali skelbti viešus projektų konkursus pagal patvirtintus konkursų aprašus. Konkursų organizatoriai vykdo projektų konkursus (viešųjų paslaugų teikėjų atranką), sudaro finansavimo sutartis ir programų įgyvendinimo ir sutarčių sąlygų priežiūrą.</w:t>
      </w:r>
    </w:p>
    <w:p w14:paraId="27D942FD" w14:textId="77777777" w:rsidR="00292462" w:rsidRPr="002F1077" w:rsidRDefault="00292462" w:rsidP="00292462">
      <w:pPr>
        <w:autoSpaceDE w:val="0"/>
        <w:autoSpaceDN w:val="0"/>
        <w:adjustRightInd w:val="0"/>
        <w:jc w:val="both"/>
        <w:rPr>
          <w:lang w:eastAsia="zh-CN"/>
        </w:rPr>
      </w:pPr>
    </w:p>
    <w:p w14:paraId="54EBBBBA" w14:textId="77777777" w:rsidR="00292462" w:rsidRPr="002F1077" w:rsidRDefault="00292462" w:rsidP="00292462">
      <w:pPr>
        <w:jc w:val="both"/>
        <w:rPr>
          <w:bCs/>
        </w:rPr>
      </w:pPr>
      <w:r w:rsidRPr="002F1077">
        <w:rPr>
          <w:bCs/>
        </w:rPr>
        <w:t xml:space="preserve">Projektai gali būti </w:t>
      </w:r>
    </w:p>
    <w:p w14:paraId="728DA3E9" w14:textId="77777777" w:rsidR="00292462" w:rsidRPr="002F1077" w:rsidRDefault="00292462" w:rsidP="00292462">
      <w:pPr>
        <w:pStyle w:val="ListParagraph"/>
        <w:numPr>
          <w:ilvl w:val="0"/>
          <w:numId w:val="1"/>
        </w:numPr>
        <w:jc w:val="both"/>
      </w:pPr>
      <w:r w:rsidRPr="002F1077">
        <w:rPr>
          <w:bCs/>
        </w:rPr>
        <w:t>trumpalaikiai</w:t>
      </w:r>
      <w:r w:rsidRPr="002F1077">
        <w:t xml:space="preserve"> (nuo 6 iki 12 mėnesių), kuriais siekiama per trumpą laiką išbandyti naujus metodus, socialinių inovacijų veiklas, prisidėti prie aktualių problemų sprendimo arba skubiai reaguojant į ekstrinę (ekstremalią) situaciją, kuriai reikia intensyvios ir trumpalaikės intervencijos; </w:t>
      </w:r>
    </w:p>
    <w:p w14:paraId="3ED61D94" w14:textId="77777777" w:rsidR="00292462" w:rsidRPr="002F1077" w:rsidRDefault="00292462" w:rsidP="00292462">
      <w:pPr>
        <w:ind w:left="360"/>
        <w:jc w:val="both"/>
        <w:rPr>
          <w:i/>
          <w:iCs/>
        </w:rPr>
      </w:pPr>
      <w:r w:rsidRPr="002F1077">
        <w:rPr>
          <w:i/>
          <w:iCs/>
        </w:rPr>
        <w:t>arba</w:t>
      </w:r>
    </w:p>
    <w:p w14:paraId="37397B07" w14:textId="77777777" w:rsidR="00292462" w:rsidRPr="002F1077" w:rsidRDefault="00292462" w:rsidP="00292462">
      <w:pPr>
        <w:pStyle w:val="ListParagraph"/>
        <w:numPr>
          <w:ilvl w:val="0"/>
          <w:numId w:val="1"/>
        </w:numPr>
        <w:jc w:val="both"/>
      </w:pPr>
      <w:r w:rsidRPr="002F1077">
        <w:rPr>
          <w:bCs/>
        </w:rPr>
        <w:t xml:space="preserve">ilgalaikiai </w:t>
      </w:r>
      <w:r w:rsidRPr="002F1077">
        <w:t>(nuo 1 iki 3 ar net 5 metų, o užsienio šalyse ilgalaikės programos vykdomos net 12 metų), kuriais siekiama teikti kokybiškas viešąsias paslaugas užtikrinant jų tęstinumą, nepertraukiamumą, kokybės stebėseną. Projektų sėkmės atveju projektų tęstinumas yra garantuojamas strateginio plano programų tęsimu. Nesėkmės atveju – įvertinamos neigiamos panašių projektų rizikos ir/arba analizuojamos nesėkmės priežastys. Taip pat iš anksto numatomas rizikos valdymas bei tikėtinos pasekmės panašių projektų įgyvendinimo atveju ateityje.</w:t>
      </w:r>
    </w:p>
    <w:p w14:paraId="3331813A" w14:textId="77777777" w:rsidR="00292462" w:rsidRPr="002F1077" w:rsidRDefault="00292462" w:rsidP="00292462">
      <w:pPr>
        <w:jc w:val="both"/>
      </w:pPr>
    </w:p>
    <w:p w14:paraId="0D376511" w14:textId="77777777" w:rsidR="00292462" w:rsidRPr="002F1077" w:rsidRDefault="00292462" w:rsidP="00292462">
      <w:pPr>
        <w:jc w:val="both"/>
      </w:pPr>
      <w:r w:rsidRPr="002F1077">
        <w:t xml:space="preserve">Tikslinga atkreipti dėmesį, kad projektinis finansavimas gali būti skiriamas biudžetiniams metams, bet pats projektas gali būti ir 2-3 metų trukmės, sutarties sąlygose nustatant, kad ateinančių metų biudžetas yra preliminarus, priklausomai nuo institucijos oficialiai patvirtinto biudžeto. </w:t>
      </w:r>
    </w:p>
    <w:p w14:paraId="212CEC3C" w14:textId="77777777" w:rsidR="00292462" w:rsidRPr="002F1077" w:rsidRDefault="00292462" w:rsidP="00292462">
      <w:pPr>
        <w:jc w:val="both"/>
      </w:pPr>
    </w:p>
    <w:p w14:paraId="536F6FF8" w14:textId="77777777" w:rsidR="00292462" w:rsidRPr="002F1077" w:rsidRDefault="00292462" w:rsidP="00292462">
      <w:pPr>
        <w:jc w:val="both"/>
      </w:pPr>
      <w:r w:rsidRPr="002F1077">
        <w:t>Projektų pranašumas prieš valstybės ar savivaldybės sprendimu kuriamų ir nuolat išlaikomų institucijų (biudžetinių ar viešųjų įstaigų) veiklą yra tas, jog projektų finansavimas užtikrina tinkamą ir realų programinio biudžeto formavimą. Tai yra tokio biudžeto, kuriuo siekiama ne išlaikyti esamas institucijas, tačiau tiesiogiai įgyvendinti strateginio plano uždavinius, pasiekti išsikeltus tikslus bei užtikrinti realių bendruomenės poreikių tenkinimą ir viešųjų paslaugų teikimą.</w:t>
      </w:r>
    </w:p>
    <w:p w14:paraId="75276371" w14:textId="77777777" w:rsidR="00292462" w:rsidRPr="002F1077" w:rsidRDefault="00292462" w:rsidP="00292462">
      <w:pPr>
        <w:jc w:val="both"/>
      </w:pPr>
    </w:p>
    <w:p w14:paraId="031EEAE7" w14:textId="77777777" w:rsidR="00292462" w:rsidRPr="002F1077" w:rsidRDefault="00292462" w:rsidP="00292462">
      <w:pPr>
        <w:jc w:val="both"/>
      </w:pPr>
      <w:r w:rsidRPr="002F1077">
        <w:t xml:space="preserve">Skelbiant projektų konkursus asignavimų valdytojams nebūtina patiems suplanuoti visas veiklas reikalingas programų rodikliams pasiekti, jiems pakanka administruoti projektų konkursus ir vykdyti sutarčių bei programos vykdymo priežiūrą. Organizacijos teikiančios </w:t>
      </w:r>
      <w:r w:rsidRPr="002F1077">
        <w:lastRenderedPageBreak/>
        <w:t xml:space="preserve">projektus konkursams siūlo inovatyvius ar labiausiai tikslinių projektų grupių poreikius atitinkančias veiklas ir priemones.    </w:t>
      </w:r>
    </w:p>
    <w:p w14:paraId="54265557" w14:textId="77777777" w:rsidR="00292462" w:rsidRPr="002F1077" w:rsidRDefault="00292462" w:rsidP="00292462">
      <w:pPr>
        <w:jc w:val="both"/>
      </w:pPr>
    </w:p>
    <w:p w14:paraId="5DA4D800" w14:textId="77777777" w:rsidR="00292462" w:rsidRPr="002F1077" w:rsidRDefault="00292462" w:rsidP="00292462">
      <w:pPr>
        <w:jc w:val="both"/>
      </w:pPr>
      <w:r w:rsidRPr="002F1077">
        <w:t xml:space="preserve">Organizacijos įgyvendinusios projektus teikia tarpines ir galutines veiklos bei finansines ataskaitas. Teikiant atskaitas būtina pateikti visus išlaidas pagrindžiančius finansinius (sąskaitos ir pan.) ir veiklos (dalyvių sąrašai ir pan.) dokumentus. </w:t>
      </w:r>
    </w:p>
    <w:p w14:paraId="17FF7056" w14:textId="77777777" w:rsidR="00292462" w:rsidRPr="002F1077" w:rsidRDefault="00292462" w:rsidP="00292462"/>
    <w:p w14:paraId="3D856224" w14:textId="77777777" w:rsidR="00292462" w:rsidRPr="002F1077" w:rsidRDefault="00292462" w:rsidP="00292462"/>
    <w:p w14:paraId="4112E32F" w14:textId="77777777" w:rsidR="00292462" w:rsidRPr="002F1077" w:rsidRDefault="00292462" w:rsidP="00292462">
      <w:pPr>
        <w:rPr>
          <w:b/>
          <w:bCs/>
          <w:color w:val="000000"/>
        </w:rPr>
      </w:pPr>
      <w:r w:rsidRPr="002F1077">
        <w:rPr>
          <w:b/>
          <w:bCs/>
          <w:color w:val="000000"/>
        </w:rPr>
        <w:t>Viešieji pirkimai</w:t>
      </w:r>
    </w:p>
    <w:p w14:paraId="0CA24F54" w14:textId="77777777" w:rsidR="00292462" w:rsidRPr="002F1077" w:rsidRDefault="00292462" w:rsidP="00292462">
      <w:pPr>
        <w:rPr>
          <w:color w:val="000000"/>
        </w:rPr>
      </w:pPr>
    </w:p>
    <w:p w14:paraId="49CA0768" w14:textId="77777777" w:rsidR="00292462" w:rsidRPr="002F1077" w:rsidRDefault="00292462" w:rsidP="00292462">
      <w:pPr>
        <w:jc w:val="both"/>
      </w:pPr>
      <w:r w:rsidRPr="002F1077">
        <w:rPr>
          <w:color w:val="000000"/>
        </w:rPr>
        <w:t>Paslaugas (ar prekes) galima pirkti ir viešųjų pirkimų būdu įprasta tvarka pagal Viešųjų pirkimų įstatymą</w:t>
      </w:r>
      <w:r w:rsidRPr="002F1077">
        <w:rPr>
          <w:rStyle w:val="FootnoteReference"/>
          <w:color w:val="000000"/>
        </w:rPr>
        <w:footnoteReference w:id="2"/>
      </w:r>
      <w:r w:rsidRPr="002F1077">
        <w:rPr>
          <w:color w:val="000000"/>
        </w:rPr>
        <w:t xml:space="preserve">. Tačiau įstatyme yra numatyta galimybė pirkimus vykdyti rezervuotų sutarčių pagrindu, </w:t>
      </w:r>
      <w:proofErr w:type="spellStart"/>
      <w:r w:rsidRPr="002F1077">
        <w:rPr>
          <w:color w:val="000000"/>
        </w:rPr>
        <w:t>t.y</w:t>
      </w:r>
      <w:proofErr w:type="spellEnd"/>
      <w:r w:rsidRPr="002F1077">
        <w:rPr>
          <w:color w:val="000000"/>
        </w:rPr>
        <w:t>. pagal 24 straipsnį „Rezervuota teisė dalyvauti tam tikrų paslaugų pirkimuose“ iš ne pelno organizacijų, vykdančių veiklą pagal žemiau pateiktus BVPŽ kodus:</w:t>
      </w:r>
    </w:p>
    <w:p w14:paraId="668AFBF8"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75121000-0 (</w:t>
      </w:r>
      <w:proofErr w:type="spellStart"/>
      <w:r w:rsidRPr="002F1077">
        <w:rPr>
          <w:rFonts w:ascii="TimesNewRomanPS" w:hAnsi="TimesNewRomanPS"/>
          <w:i/>
          <w:iCs/>
        </w:rPr>
        <w:t>švietimo</w:t>
      </w:r>
      <w:proofErr w:type="spellEnd"/>
      <w:r w:rsidRPr="002F1077">
        <w:rPr>
          <w:rFonts w:ascii="TimesNewRomanPS" w:hAnsi="TimesNewRomanPS"/>
          <w:i/>
          <w:iCs/>
        </w:rPr>
        <w:t xml:space="preserve"> paslaugos); </w:t>
      </w:r>
    </w:p>
    <w:p w14:paraId="7CF1351A"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75122000-7 (sveikatos </w:t>
      </w:r>
      <w:proofErr w:type="spellStart"/>
      <w:r w:rsidRPr="002F1077">
        <w:rPr>
          <w:rFonts w:ascii="TimesNewRomanPS" w:hAnsi="TimesNewRomanPS"/>
          <w:i/>
          <w:iCs/>
        </w:rPr>
        <w:t>priežiūros</w:t>
      </w:r>
      <w:proofErr w:type="spellEnd"/>
      <w:r w:rsidRPr="002F1077">
        <w:rPr>
          <w:rFonts w:ascii="TimesNewRomanPS" w:hAnsi="TimesNewRomanPS"/>
          <w:i/>
          <w:iCs/>
        </w:rPr>
        <w:t xml:space="preserve"> paslaugos); </w:t>
      </w:r>
    </w:p>
    <w:p w14:paraId="4C8F28BF"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75123000-4 (</w:t>
      </w:r>
      <w:proofErr w:type="spellStart"/>
      <w:r w:rsidRPr="002F1077">
        <w:rPr>
          <w:rFonts w:ascii="TimesNewRomanPS" w:hAnsi="TimesNewRomanPS"/>
          <w:i/>
          <w:iCs/>
        </w:rPr>
        <w:t>būsto</w:t>
      </w:r>
      <w:proofErr w:type="spellEnd"/>
      <w:r w:rsidRPr="002F1077">
        <w:rPr>
          <w:rFonts w:ascii="TimesNewRomanPS" w:hAnsi="TimesNewRomanPS"/>
          <w:i/>
          <w:iCs/>
        </w:rPr>
        <w:t xml:space="preserve"> paslaugos); </w:t>
      </w:r>
    </w:p>
    <w:p w14:paraId="2B1AFC6F"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79622000-0 (namų </w:t>
      </w:r>
      <w:proofErr w:type="spellStart"/>
      <w:r w:rsidRPr="002F1077">
        <w:rPr>
          <w:rFonts w:ascii="TimesNewRomanPS" w:hAnsi="TimesNewRomanPS"/>
          <w:i/>
          <w:iCs/>
        </w:rPr>
        <w:t>ūkio</w:t>
      </w:r>
      <w:proofErr w:type="spellEnd"/>
      <w:r w:rsidRPr="002F1077">
        <w:rPr>
          <w:rFonts w:ascii="TimesNewRomanPS" w:hAnsi="TimesNewRomanPS"/>
          <w:i/>
          <w:iCs/>
        </w:rPr>
        <w:t xml:space="preserve"> pagalbinių darbininkų </w:t>
      </w:r>
      <w:proofErr w:type="spellStart"/>
      <w:r w:rsidRPr="002F1077">
        <w:rPr>
          <w:rFonts w:ascii="TimesNewRomanPS" w:hAnsi="TimesNewRomanPS"/>
          <w:i/>
          <w:iCs/>
        </w:rPr>
        <w:t>parūpinimo</w:t>
      </w:r>
      <w:proofErr w:type="spellEnd"/>
      <w:r w:rsidRPr="002F1077">
        <w:rPr>
          <w:rFonts w:ascii="TimesNewRomanPS" w:hAnsi="TimesNewRomanPS"/>
          <w:i/>
          <w:iCs/>
        </w:rPr>
        <w:t xml:space="preserve"> paslaugos); </w:t>
      </w:r>
    </w:p>
    <w:p w14:paraId="4552E805"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79624000-4 (slaugos personalo </w:t>
      </w:r>
      <w:proofErr w:type="spellStart"/>
      <w:r w:rsidRPr="002F1077">
        <w:rPr>
          <w:rFonts w:ascii="TimesNewRomanPS" w:hAnsi="TimesNewRomanPS"/>
          <w:i/>
          <w:iCs/>
        </w:rPr>
        <w:t>parūpinimo</w:t>
      </w:r>
      <w:proofErr w:type="spellEnd"/>
      <w:r w:rsidRPr="002F1077">
        <w:rPr>
          <w:rFonts w:ascii="TimesNewRomanPS" w:hAnsi="TimesNewRomanPS"/>
          <w:i/>
          <w:iCs/>
        </w:rPr>
        <w:t xml:space="preserve"> paslaugos); </w:t>
      </w:r>
    </w:p>
    <w:p w14:paraId="189BDC6A"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79625000-1 (medicinos personalo </w:t>
      </w:r>
      <w:proofErr w:type="spellStart"/>
      <w:r w:rsidRPr="002F1077">
        <w:rPr>
          <w:rFonts w:ascii="TimesNewRomanPS" w:hAnsi="TimesNewRomanPS"/>
          <w:i/>
          <w:iCs/>
        </w:rPr>
        <w:t>parūpinimo</w:t>
      </w:r>
      <w:proofErr w:type="spellEnd"/>
      <w:r w:rsidRPr="002F1077">
        <w:rPr>
          <w:rFonts w:ascii="TimesNewRomanPS" w:hAnsi="TimesNewRomanPS"/>
          <w:i/>
          <w:iCs/>
        </w:rPr>
        <w:t xml:space="preserve"> paslaugos); </w:t>
      </w:r>
    </w:p>
    <w:p w14:paraId="2E6384C2"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80110000-8 (ikimokyklinio ugdymo paslaugos); </w:t>
      </w:r>
    </w:p>
    <w:p w14:paraId="3AE8CD6F"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80300000-7 (</w:t>
      </w:r>
      <w:proofErr w:type="spellStart"/>
      <w:r w:rsidRPr="002F1077">
        <w:rPr>
          <w:rFonts w:ascii="TimesNewRomanPS" w:hAnsi="TimesNewRomanPS"/>
          <w:i/>
          <w:iCs/>
        </w:rPr>
        <w:t>aukštojo</w:t>
      </w:r>
      <w:proofErr w:type="spellEnd"/>
      <w:r w:rsidRPr="002F1077">
        <w:rPr>
          <w:rFonts w:ascii="TimesNewRomanPS" w:hAnsi="TimesNewRomanPS"/>
          <w:i/>
          <w:iCs/>
        </w:rPr>
        <w:t xml:space="preserve"> mokslo paslaugos); </w:t>
      </w:r>
    </w:p>
    <w:p w14:paraId="101DF5B1"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80420000-4 (E. mokymosi paslaugos); </w:t>
      </w:r>
    </w:p>
    <w:p w14:paraId="68673D06"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80430000-7 (universitetinio </w:t>
      </w:r>
      <w:proofErr w:type="spellStart"/>
      <w:r w:rsidRPr="002F1077">
        <w:rPr>
          <w:rFonts w:ascii="TimesNewRomanPS" w:hAnsi="TimesNewRomanPS"/>
          <w:i/>
          <w:iCs/>
        </w:rPr>
        <w:t>suaugusiųju</w:t>
      </w:r>
      <w:proofErr w:type="spellEnd"/>
      <w:r w:rsidRPr="002F1077">
        <w:rPr>
          <w:rFonts w:ascii="TimesNewRomanPS" w:hAnsi="TimesNewRomanPS"/>
          <w:i/>
          <w:iCs/>
        </w:rPr>
        <w:t xml:space="preserve">̨ </w:t>
      </w:r>
      <w:proofErr w:type="spellStart"/>
      <w:r w:rsidRPr="002F1077">
        <w:rPr>
          <w:rFonts w:ascii="TimesNewRomanPS" w:hAnsi="TimesNewRomanPS"/>
          <w:i/>
          <w:iCs/>
        </w:rPr>
        <w:t>švietimo</w:t>
      </w:r>
      <w:proofErr w:type="spellEnd"/>
      <w:r w:rsidRPr="002F1077">
        <w:rPr>
          <w:rFonts w:ascii="TimesNewRomanPS" w:hAnsi="TimesNewRomanPS"/>
          <w:i/>
          <w:iCs/>
        </w:rPr>
        <w:t xml:space="preserve"> paslaugos); </w:t>
      </w:r>
    </w:p>
    <w:p w14:paraId="5B9CF215"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80511000-9 (darbuotojų mokymo paslaugos); </w:t>
      </w:r>
    </w:p>
    <w:p w14:paraId="2F0006D7"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80520000-5 (mokomosios </w:t>
      </w:r>
      <w:proofErr w:type="spellStart"/>
      <w:r w:rsidRPr="002F1077">
        <w:rPr>
          <w:rFonts w:ascii="TimesNewRomanPS" w:hAnsi="TimesNewRomanPS"/>
          <w:i/>
          <w:iCs/>
        </w:rPr>
        <w:t>priemonės</w:t>
      </w:r>
      <w:proofErr w:type="spellEnd"/>
      <w:r w:rsidRPr="002F1077">
        <w:rPr>
          <w:rFonts w:ascii="TimesNewRomanPS" w:hAnsi="TimesNewRomanPS"/>
          <w:i/>
          <w:iCs/>
        </w:rPr>
        <w:t xml:space="preserve">); </w:t>
      </w:r>
    </w:p>
    <w:p w14:paraId="2F133F92"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80590000-6 (mokymo paslaugos) </w:t>
      </w:r>
    </w:p>
    <w:p w14:paraId="107A993C"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 xml:space="preserve">nuo 85000000-9 (sveikatos </w:t>
      </w:r>
      <w:proofErr w:type="spellStart"/>
      <w:r w:rsidRPr="002F1077">
        <w:rPr>
          <w:rFonts w:ascii="TimesNewRomanPS" w:hAnsi="TimesNewRomanPS"/>
          <w:i/>
          <w:iCs/>
        </w:rPr>
        <w:t>priežiūros</w:t>
      </w:r>
      <w:proofErr w:type="spellEnd"/>
      <w:r w:rsidRPr="002F1077">
        <w:rPr>
          <w:rFonts w:ascii="TimesNewRomanPS" w:hAnsi="TimesNewRomanPS"/>
          <w:i/>
          <w:iCs/>
        </w:rPr>
        <w:t xml:space="preserve"> ir socialinio darbo paslaugos) iki 85323000-9 (</w:t>
      </w:r>
      <w:proofErr w:type="spellStart"/>
      <w:r w:rsidRPr="002F1077">
        <w:rPr>
          <w:rFonts w:ascii="TimesNewRomanPS" w:hAnsi="TimesNewRomanPS"/>
          <w:i/>
          <w:iCs/>
        </w:rPr>
        <w:t>bendruomenės</w:t>
      </w:r>
      <w:proofErr w:type="spellEnd"/>
      <w:r w:rsidRPr="002F1077">
        <w:rPr>
          <w:rFonts w:ascii="TimesNewRomanPS" w:hAnsi="TimesNewRomanPS"/>
          <w:i/>
          <w:iCs/>
        </w:rPr>
        <w:t xml:space="preserve"> sveikatos </w:t>
      </w:r>
      <w:proofErr w:type="spellStart"/>
      <w:r w:rsidRPr="002F1077">
        <w:rPr>
          <w:rFonts w:ascii="TimesNewRomanPS" w:hAnsi="TimesNewRomanPS"/>
          <w:i/>
          <w:iCs/>
        </w:rPr>
        <w:t>priežiūros</w:t>
      </w:r>
      <w:proofErr w:type="spellEnd"/>
      <w:r w:rsidRPr="002F1077">
        <w:rPr>
          <w:rFonts w:ascii="TimesNewRomanPS" w:hAnsi="TimesNewRomanPS"/>
          <w:i/>
          <w:iCs/>
        </w:rPr>
        <w:t xml:space="preserve"> paslaugos); </w:t>
      </w:r>
    </w:p>
    <w:p w14:paraId="4A555A6E"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92500000-6 (</w:t>
      </w:r>
      <w:proofErr w:type="spellStart"/>
      <w:r w:rsidRPr="002F1077">
        <w:rPr>
          <w:rFonts w:ascii="TimesNewRomanPS" w:hAnsi="TimesNewRomanPS"/>
          <w:i/>
          <w:iCs/>
        </w:rPr>
        <w:t>biblioteku</w:t>
      </w:r>
      <w:proofErr w:type="spellEnd"/>
      <w:r w:rsidRPr="002F1077">
        <w:rPr>
          <w:rFonts w:ascii="TimesNewRomanPS" w:hAnsi="TimesNewRomanPS"/>
          <w:i/>
          <w:iCs/>
        </w:rPr>
        <w:t xml:space="preserve">̨, archyvų, </w:t>
      </w:r>
      <w:proofErr w:type="spellStart"/>
      <w:r w:rsidRPr="002F1077">
        <w:rPr>
          <w:rFonts w:ascii="TimesNewRomanPS" w:hAnsi="TimesNewRomanPS"/>
          <w:i/>
          <w:iCs/>
        </w:rPr>
        <w:t>muzieju</w:t>
      </w:r>
      <w:proofErr w:type="spellEnd"/>
      <w:r w:rsidRPr="002F1077">
        <w:rPr>
          <w:rFonts w:ascii="TimesNewRomanPS" w:hAnsi="TimesNewRomanPS"/>
          <w:i/>
          <w:iCs/>
        </w:rPr>
        <w:t xml:space="preserve">̨ ir kitos </w:t>
      </w:r>
      <w:proofErr w:type="spellStart"/>
      <w:r w:rsidRPr="002F1077">
        <w:rPr>
          <w:rFonts w:ascii="TimesNewRomanPS" w:hAnsi="TimesNewRomanPS"/>
          <w:i/>
          <w:iCs/>
        </w:rPr>
        <w:t>kultūrinės</w:t>
      </w:r>
      <w:proofErr w:type="spellEnd"/>
      <w:r w:rsidRPr="002F1077">
        <w:rPr>
          <w:rFonts w:ascii="TimesNewRomanPS" w:hAnsi="TimesNewRomanPS"/>
          <w:i/>
          <w:iCs/>
        </w:rPr>
        <w:t xml:space="preserve"> paslaugos); </w:t>
      </w:r>
    </w:p>
    <w:p w14:paraId="477AFA50"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92600000-7 (</w:t>
      </w:r>
      <w:proofErr w:type="spellStart"/>
      <w:r w:rsidRPr="002F1077">
        <w:rPr>
          <w:rFonts w:ascii="TimesNewRomanPS" w:hAnsi="TimesNewRomanPS"/>
          <w:i/>
          <w:iCs/>
        </w:rPr>
        <w:t>sportinės</w:t>
      </w:r>
      <w:proofErr w:type="spellEnd"/>
      <w:r w:rsidRPr="002F1077">
        <w:rPr>
          <w:rFonts w:ascii="TimesNewRomanPS" w:hAnsi="TimesNewRomanPS"/>
          <w:i/>
          <w:iCs/>
        </w:rPr>
        <w:t xml:space="preserve"> paslaugos); </w:t>
      </w:r>
    </w:p>
    <w:p w14:paraId="53E1AC6C"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98133000-4 (</w:t>
      </w:r>
      <w:proofErr w:type="spellStart"/>
      <w:r w:rsidRPr="002F1077">
        <w:rPr>
          <w:rFonts w:ascii="TimesNewRomanPS" w:hAnsi="TimesNewRomanPS"/>
          <w:i/>
          <w:iCs/>
        </w:rPr>
        <w:t>narystės</w:t>
      </w:r>
      <w:proofErr w:type="spellEnd"/>
      <w:r w:rsidRPr="002F1077">
        <w:rPr>
          <w:rFonts w:ascii="TimesNewRomanPS" w:hAnsi="TimesNewRomanPS"/>
          <w:i/>
          <w:iCs/>
        </w:rPr>
        <w:t xml:space="preserve"> </w:t>
      </w:r>
      <w:proofErr w:type="spellStart"/>
      <w:r w:rsidRPr="002F1077">
        <w:rPr>
          <w:rFonts w:ascii="TimesNewRomanPS" w:hAnsi="TimesNewRomanPS"/>
          <w:i/>
          <w:iCs/>
        </w:rPr>
        <w:t>organizaciju</w:t>
      </w:r>
      <w:proofErr w:type="spellEnd"/>
      <w:r w:rsidRPr="002F1077">
        <w:rPr>
          <w:rFonts w:ascii="TimesNewRomanPS" w:hAnsi="TimesNewRomanPS"/>
          <w:i/>
          <w:iCs/>
        </w:rPr>
        <w:t xml:space="preserve">̨ teikiamos paslaugos); </w:t>
      </w:r>
    </w:p>
    <w:p w14:paraId="13A09184" w14:textId="77777777" w:rsidR="00292462" w:rsidRPr="002F1077" w:rsidRDefault="00292462" w:rsidP="00292462">
      <w:pPr>
        <w:pStyle w:val="NormalWeb"/>
        <w:numPr>
          <w:ilvl w:val="0"/>
          <w:numId w:val="2"/>
        </w:numPr>
        <w:rPr>
          <w:rFonts w:ascii="SymbolMT" w:hAnsi="SymbolMT"/>
        </w:rPr>
      </w:pPr>
      <w:r w:rsidRPr="002F1077">
        <w:rPr>
          <w:rFonts w:ascii="TimesNewRomanPS" w:hAnsi="TimesNewRomanPS"/>
          <w:i/>
          <w:iCs/>
        </w:rPr>
        <w:t>98133110-8</w:t>
      </w:r>
      <w:r w:rsidRPr="002F1077">
        <w:rPr>
          <w:rStyle w:val="FootnoteReference"/>
          <w:rFonts w:ascii="TimesNewRomanPS" w:hAnsi="TimesNewRomanPS"/>
          <w:i/>
          <w:iCs/>
        </w:rPr>
        <w:footnoteReference w:id="3"/>
      </w:r>
      <w:r w:rsidRPr="002F1077">
        <w:rPr>
          <w:rFonts w:ascii="TimesNewRomanPS" w:hAnsi="TimesNewRomanPS"/>
          <w:i/>
          <w:iCs/>
        </w:rPr>
        <w:t xml:space="preserve"> </w:t>
      </w:r>
      <w:r w:rsidRPr="002F1077">
        <w:rPr>
          <w:rFonts w:ascii="TimesNewRomanPS" w:hAnsi="TimesNewRomanPS"/>
          <w:i/>
          <w:iCs/>
          <w:position w:val="12"/>
          <w:sz w:val="16"/>
          <w:szCs w:val="16"/>
        </w:rPr>
        <w:t xml:space="preserve"> </w:t>
      </w:r>
      <w:r w:rsidRPr="002F1077">
        <w:rPr>
          <w:rFonts w:ascii="TimesNewRomanPS" w:hAnsi="TimesNewRomanPS"/>
          <w:i/>
          <w:iCs/>
        </w:rPr>
        <w:t xml:space="preserve">(jaunimo </w:t>
      </w:r>
      <w:proofErr w:type="spellStart"/>
      <w:r w:rsidRPr="002F1077">
        <w:rPr>
          <w:rFonts w:ascii="TimesNewRomanPS" w:hAnsi="TimesNewRomanPS"/>
          <w:i/>
          <w:iCs/>
        </w:rPr>
        <w:t>asociaciju</w:t>
      </w:r>
      <w:proofErr w:type="spellEnd"/>
      <w:r w:rsidRPr="002F1077">
        <w:rPr>
          <w:rFonts w:ascii="TimesNewRomanPS" w:hAnsi="TimesNewRomanPS"/>
          <w:i/>
          <w:iCs/>
        </w:rPr>
        <w:t xml:space="preserve">̨ teikiamos paslaugos); </w:t>
      </w:r>
    </w:p>
    <w:p w14:paraId="11FB261C" w14:textId="77777777" w:rsidR="00292462" w:rsidRPr="002F1077" w:rsidRDefault="00292462" w:rsidP="00292462">
      <w:pPr>
        <w:jc w:val="both"/>
        <w:rPr>
          <w:color w:val="000000"/>
        </w:rPr>
      </w:pPr>
      <w:r w:rsidRPr="002F1077">
        <w:rPr>
          <w:color w:val="000000"/>
        </w:rPr>
        <w:t>Šiuose pirkimuose gali dalyvauti tik tiekėjai, kurie atitinka šio straipsnio 2 dalyje nurodytus reikalavimus. Tokiu atveju pirkimo sutarties trukmė negali būti ilgesnė kaip 3 metai.</w:t>
      </w:r>
    </w:p>
    <w:p w14:paraId="6AF1B9A4" w14:textId="77777777" w:rsidR="00292462" w:rsidRPr="002F1077" w:rsidRDefault="00292462" w:rsidP="00292462">
      <w:bookmarkStart w:id="0" w:name="part_cb1d67a2c5244c17a5f6f47b61c6c9f6"/>
      <w:bookmarkStart w:id="1" w:name="part_2bce3509b5b841fdbf76fcd070dcf18f"/>
      <w:bookmarkEnd w:id="0"/>
      <w:bookmarkEnd w:id="1"/>
    </w:p>
    <w:p w14:paraId="566BAEA1" w14:textId="77777777" w:rsidR="00292462" w:rsidRPr="002F1077" w:rsidRDefault="00292462" w:rsidP="00292462">
      <w:pPr>
        <w:jc w:val="both"/>
      </w:pPr>
      <w:r w:rsidRPr="002F1077">
        <w:rPr>
          <w:rStyle w:val="wysiwyg-font-size-medium"/>
          <w:color w:val="000000"/>
          <w:spacing w:val="2"/>
        </w:rPr>
        <w:t>Šiame Viešųjų pirkimų įstatymo straipsnyje</w:t>
      </w:r>
      <w:r w:rsidRPr="002F1077">
        <w:rPr>
          <w:rStyle w:val="wysiwyg-color-black"/>
          <w:color w:val="000000"/>
          <w:spacing w:val="2"/>
        </w:rPr>
        <w:t> yra įtvirtintos taisyklės, kai perkančiosios organizacijos gali apriboti tiekėjų, kurie gali pateikti pasiūlymus (paraiškas), ratą pagal jų vykdomą veiklą. Kitaip tariant, Viešųjų pirkimų tarnybos komentuojama</w:t>
      </w:r>
      <w:r w:rsidRPr="002F1077">
        <w:rPr>
          <w:rStyle w:val="FootnoteReference"/>
          <w:color w:val="000000"/>
          <w:spacing w:val="2"/>
        </w:rPr>
        <w:footnoteReference w:id="4"/>
      </w:r>
      <w:r w:rsidRPr="002F1077">
        <w:rPr>
          <w:rStyle w:val="wysiwyg-color-black"/>
          <w:color w:val="000000"/>
          <w:spacing w:val="2"/>
        </w:rPr>
        <w:t xml:space="preserve"> norma yra leidžiama pozityvioji diskriminacija, t. y. situacija, kai įstatymas pateisina </w:t>
      </w:r>
      <w:proofErr w:type="spellStart"/>
      <w:r w:rsidRPr="002F1077">
        <w:rPr>
          <w:rStyle w:val="wysiwyg-color-black"/>
          <w:color w:val="000000"/>
          <w:spacing w:val="2"/>
        </w:rPr>
        <w:t>nelygiateisiškumą</w:t>
      </w:r>
      <w:proofErr w:type="spellEnd"/>
      <w:r w:rsidRPr="002F1077">
        <w:rPr>
          <w:rStyle w:val="wysiwyg-color-black"/>
          <w:color w:val="000000"/>
          <w:spacing w:val="2"/>
        </w:rPr>
        <w:t xml:space="preserve"> ir diferenciaciją, nes iš visų rinkoje veikiančių subjektų tik tam tikrai konkrečiai apibrėžtai kategorijai tiekėjų yra leidžiama dalyvauti viešuosiuose pirkimuose. Tačiau tokia situacija </w:t>
      </w:r>
      <w:r w:rsidRPr="002F1077">
        <w:rPr>
          <w:rStyle w:val="wysiwyg-color-black"/>
          <w:color w:val="000000"/>
          <w:spacing w:val="2"/>
        </w:rPr>
        <w:lastRenderedPageBreak/>
        <w:t>yra teisėtai leidžiama tik todėl, kad būtų pasiekti ir užtikrinti kiti teisiniai gėriai, sudarantys viešąjį interesą: skatinti sveikatos, socialinių ir kultūros sektorių puoselėjimą.</w:t>
      </w:r>
    </w:p>
    <w:p w14:paraId="7C173F9C" w14:textId="25E9472E" w:rsidR="00292462" w:rsidRDefault="00665E7B" w:rsidP="00292462">
      <w:pPr>
        <w:spacing w:before="120"/>
        <w:jc w:val="both"/>
      </w:pPr>
      <w:r w:rsidRPr="002F1077">
        <w:t>Sieki</w:t>
      </w:r>
      <w:r>
        <w:t>a</w:t>
      </w:r>
      <w:r w:rsidRPr="002F1077">
        <w:t>nt</w:t>
      </w:r>
      <w:r w:rsidR="00292462" w:rsidRPr="002F1077">
        <w:t xml:space="preserve"> įsigyti kokybiškas ir standartus atitinkančias paslaugas rekomenduojama taikyti akreditacijos mechanizmą, kuris kuria pasitikėjimą, mažina riziką ir skatiną konkurenciją. Kad procesas galėtų vykti sklandžiai viena iš būtinų sąlygų yra tinkama teisinė bazė, </w:t>
      </w:r>
      <w:proofErr w:type="spellStart"/>
      <w:r w:rsidR="00292462" w:rsidRPr="002F1077">
        <w:t>t.y</w:t>
      </w:r>
      <w:proofErr w:type="spellEnd"/>
      <w:r w:rsidR="00292462" w:rsidRPr="002F1077">
        <w:t>. įstatymai, viešųjų paslaugų aprašai (katalogai), finansavimo ir kokybės kontrolės tvarkų aprašai.</w:t>
      </w:r>
    </w:p>
    <w:p w14:paraId="601C0C8E" w14:textId="77777777" w:rsidR="007471F2" w:rsidRDefault="007471F2" w:rsidP="00292462">
      <w:pPr>
        <w:spacing w:before="120"/>
        <w:jc w:val="both"/>
      </w:pPr>
    </w:p>
    <w:p w14:paraId="6157E871" w14:textId="5054CBD2" w:rsidR="007471F2" w:rsidRPr="003143DF" w:rsidRDefault="007471F2" w:rsidP="00292462">
      <w:pPr>
        <w:spacing w:before="120"/>
        <w:jc w:val="both"/>
        <w:rPr>
          <w:b/>
          <w:bCs/>
        </w:rPr>
      </w:pPr>
      <w:r w:rsidRPr="003143DF">
        <w:rPr>
          <w:b/>
          <w:bCs/>
        </w:rPr>
        <w:t>Akreditacija</w:t>
      </w:r>
    </w:p>
    <w:p w14:paraId="4DC9E351" w14:textId="77777777" w:rsidR="007471F2" w:rsidRPr="002F1077" w:rsidRDefault="007471F2" w:rsidP="00292462">
      <w:pPr>
        <w:spacing w:before="120"/>
        <w:jc w:val="both"/>
      </w:pPr>
    </w:p>
    <w:p w14:paraId="22F03DCF" w14:textId="34EBD8AC" w:rsidR="00292462" w:rsidRPr="002F1077" w:rsidRDefault="00691D96" w:rsidP="00292462">
      <w:pPr>
        <w:spacing w:before="120"/>
        <w:jc w:val="both"/>
      </w:pPr>
      <w:r>
        <w:rPr>
          <w:color w:val="000000"/>
        </w:rPr>
        <w:t>Šiandieninė patirtis š</w:t>
      </w:r>
      <w:r w:rsidR="00292462" w:rsidRPr="002F1077">
        <w:rPr>
          <w:color w:val="000000"/>
        </w:rPr>
        <w:t>vietimo</w:t>
      </w:r>
      <w:r w:rsidR="00292462" w:rsidRPr="002F1077">
        <w:rPr>
          <w:rStyle w:val="FootnoteReference"/>
          <w:color w:val="000000"/>
        </w:rPr>
        <w:footnoteReference w:id="5"/>
      </w:r>
      <w:r w:rsidR="00292462" w:rsidRPr="002F1077">
        <w:rPr>
          <w:color w:val="000000"/>
        </w:rPr>
        <w:t xml:space="preserve"> ir sporto</w:t>
      </w:r>
      <w:r w:rsidR="00292462" w:rsidRPr="002F1077">
        <w:rPr>
          <w:rStyle w:val="FootnoteReference"/>
          <w:color w:val="000000"/>
        </w:rPr>
        <w:footnoteReference w:id="6"/>
      </w:r>
      <w:r w:rsidR="00292462" w:rsidRPr="002F1077">
        <w:rPr>
          <w:color w:val="000000"/>
        </w:rPr>
        <w:t xml:space="preserve"> </w:t>
      </w:r>
      <w:r w:rsidR="007471F2">
        <w:rPr>
          <w:color w:val="000000"/>
        </w:rPr>
        <w:t>bei socialinių paslaugų</w:t>
      </w:r>
      <w:r w:rsidR="00356D71">
        <w:rPr>
          <w:rStyle w:val="FootnoteReference"/>
          <w:color w:val="000000"/>
        </w:rPr>
        <w:footnoteReference w:id="7"/>
      </w:r>
      <w:r w:rsidR="007471F2">
        <w:rPr>
          <w:color w:val="000000"/>
        </w:rPr>
        <w:t xml:space="preserve"> </w:t>
      </w:r>
      <w:r w:rsidR="00292462" w:rsidRPr="002F1077">
        <w:rPr>
          <w:color w:val="000000"/>
        </w:rPr>
        <w:t xml:space="preserve">srityje </w:t>
      </w:r>
      <w:r>
        <w:rPr>
          <w:color w:val="000000"/>
        </w:rPr>
        <w:t xml:space="preserve">rodo, kad </w:t>
      </w:r>
      <w:r w:rsidR="00292462" w:rsidRPr="002F1077">
        <w:rPr>
          <w:color w:val="000000"/>
        </w:rPr>
        <w:t xml:space="preserve">valstybė ir savivaldybės nustato </w:t>
      </w:r>
      <w:r w:rsidR="00DC576D">
        <w:rPr>
          <w:color w:val="000000"/>
        </w:rPr>
        <w:t xml:space="preserve">fiksuotus </w:t>
      </w:r>
      <w:r w:rsidR="00292462" w:rsidRPr="002F1077">
        <w:rPr>
          <w:color w:val="000000"/>
        </w:rPr>
        <w:t xml:space="preserve">finansavimo </w:t>
      </w:r>
      <w:r w:rsidR="00DC576D">
        <w:rPr>
          <w:color w:val="000000"/>
        </w:rPr>
        <w:t>įkainius</w:t>
      </w:r>
      <w:r w:rsidR="00292462" w:rsidRPr="002F1077">
        <w:rPr>
          <w:color w:val="000000"/>
        </w:rPr>
        <w:t xml:space="preserve"> asmeniui</w:t>
      </w:r>
      <w:r w:rsidR="00DC576D">
        <w:rPr>
          <w:color w:val="000000"/>
        </w:rPr>
        <w:t xml:space="preserve"> (paslaugos gavėjui) bei atskirais atvejais budėjimo valandų (laukiant paslaugos gavėjų) </w:t>
      </w:r>
      <w:r w:rsidR="00DC576D" w:rsidRPr="00691D96">
        <w:rPr>
          <w:b/>
          <w:bCs/>
          <w:color w:val="000000"/>
        </w:rPr>
        <w:t>fiksuotus įkainius</w:t>
      </w:r>
      <w:r w:rsidR="00292462" w:rsidRPr="002F1077">
        <w:rPr>
          <w:color w:val="000000"/>
        </w:rPr>
        <w:t>, pagal kuriuos yra finansuojama įstaigos ar organizacijos veikla, skiriant lėšas pagal tai, kiek</w:t>
      </w:r>
      <w:r w:rsidR="00DC576D">
        <w:rPr>
          <w:color w:val="000000"/>
        </w:rPr>
        <w:t xml:space="preserve"> trunka darbas ir kiek</w:t>
      </w:r>
      <w:r w:rsidR="00292462" w:rsidRPr="002F1077">
        <w:rPr>
          <w:color w:val="000000"/>
        </w:rPr>
        <w:t xml:space="preserve"> joje yra paslaugos gavėjų. </w:t>
      </w:r>
      <w:r w:rsidR="009F69A5">
        <w:rPr>
          <w:color w:val="000000"/>
        </w:rPr>
        <w:t>Tokia tvarka</w:t>
      </w:r>
      <w:r w:rsidR="00292462" w:rsidRPr="002F1077">
        <w:rPr>
          <w:color w:val="000000"/>
        </w:rPr>
        <w:t xml:space="preserve"> taikoma ikimokyklinio ugdymo, bendrojo ugdymo ir neformalaus ugdymo įstaigoms bei organizacijoms ar fiziniams (neformaliojo švietimo) teikėjams.</w:t>
      </w:r>
      <w:r w:rsidR="00292462" w:rsidRPr="002F1077">
        <w:t xml:space="preserve"> </w:t>
      </w:r>
      <w:r w:rsidR="00292462" w:rsidRPr="002F1077">
        <w:rPr>
          <w:color w:val="000000"/>
        </w:rPr>
        <w:t xml:space="preserve">Akreditacijos </w:t>
      </w:r>
      <w:r w:rsidR="000553B3" w:rsidRPr="002F1077">
        <w:rPr>
          <w:color w:val="000000"/>
        </w:rPr>
        <w:t>sistema</w:t>
      </w:r>
      <w:r w:rsidR="00292462" w:rsidRPr="002F1077">
        <w:rPr>
          <w:color w:val="000000"/>
        </w:rPr>
        <w:t xml:space="preserve"> jau keletą metų yra taikoma sveikatos </w:t>
      </w:r>
      <w:r w:rsidR="000553B3" w:rsidRPr="002F1077">
        <w:rPr>
          <w:color w:val="000000"/>
        </w:rPr>
        <w:t>sistemoje</w:t>
      </w:r>
      <w:r w:rsidR="00292462" w:rsidRPr="002F1077">
        <w:rPr>
          <w:color w:val="000000"/>
        </w:rPr>
        <w:t>, 2021 metai</w:t>
      </w:r>
      <w:r w:rsidR="009F69A5">
        <w:rPr>
          <w:color w:val="000000"/>
        </w:rPr>
        <w:t>s</w:t>
      </w:r>
      <w:r w:rsidR="00292462" w:rsidRPr="002F1077">
        <w:rPr>
          <w:color w:val="000000"/>
        </w:rPr>
        <w:t xml:space="preserve"> akreditacijos sistema</w:t>
      </w:r>
      <w:r w:rsidR="00292462" w:rsidRPr="002F1077">
        <w:rPr>
          <w:rStyle w:val="FootnoteReference"/>
          <w:color w:val="000000"/>
        </w:rPr>
        <w:footnoteReference w:id="8"/>
      </w:r>
      <w:r w:rsidR="00292462" w:rsidRPr="002F1077">
        <w:rPr>
          <w:color w:val="000000"/>
        </w:rPr>
        <w:t xml:space="preserve"> yra sukurta ir taikoma Socialinės apsaugos ir darbo ministerijos, finansuojant vaikų dienos centrų veiklą. O šiuo metu kaip tik vyksta socialinės priežiūros paslaugų akreditacijos procesas. Verta pabrėžti, jog viešai skelbiamame akreditacijos procese gali dalyvauti visi juridiniai asmenys, todėl tai iš esmės atitinka viešo konkurso sąlygas.</w:t>
      </w:r>
    </w:p>
    <w:p w14:paraId="757FE4AB" w14:textId="104119CF" w:rsidR="00292462" w:rsidRPr="002F1077" w:rsidRDefault="00292462" w:rsidP="00292462">
      <w:pPr>
        <w:spacing w:before="120"/>
        <w:jc w:val="both"/>
        <w:rPr>
          <w:color w:val="000000"/>
        </w:rPr>
      </w:pPr>
      <w:r w:rsidRPr="002F1077">
        <w:rPr>
          <w:color w:val="000000"/>
        </w:rPr>
        <w:t xml:space="preserve">Pagal patvirtintus tvarkų aprašas organizacijos suteikusios paslaugas nustatyta tvarka (teikiant prašymus apmokėti patirtas išlaidas (įprastu būdu ar specializuotų IT sistemų pagalba) nustatytu intensyvumu (kas </w:t>
      </w:r>
      <w:r w:rsidR="000553B3" w:rsidRPr="002F1077">
        <w:rPr>
          <w:color w:val="000000"/>
        </w:rPr>
        <w:t>mėnesį</w:t>
      </w:r>
      <w:r w:rsidRPr="002F1077">
        <w:rPr>
          <w:color w:val="000000"/>
        </w:rPr>
        <w:t xml:space="preserve">, ketvirtį ar metus)) pateikia veiklos ataskaitą ir sąskaitą apmokėjimui. Šiuo atvejų visų išlaidas pagrindžiančių dokumentų kopijų teikti nereikia.  </w:t>
      </w:r>
    </w:p>
    <w:p w14:paraId="46747659" w14:textId="77777777" w:rsidR="00292462" w:rsidRPr="002F1077" w:rsidRDefault="00292462" w:rsidP="00292462">
      <w:pPr>
        <w:spacing w:before="120"/>
        <w:jc w:val="both"/>
        <w:rPr>
          <w:color w:val="000000"/>
        </w:rPr>
        <w:sectPr w:rsidR="00292462" w:rsidRPr="002F107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696"/>
        <w:gridCol w:w="3261"/>
        <w:gridCol w:w="4488"/>
        <w:gridCol w:w="4442"/>
      </w:tblGrid>
      <w:tr w:rsidR="00292462" w:rsidRPr="002F1077" w14:paraId="4C9A2AD6" w14:textId="77777777" w:rsidTr="00314BFE">
        <w:trPr>
          <w:trHeight w:val="470"/>
        </w:trPr>
        <w:tc>
          <w:tcPr>
            <w:tcW w:w="1696" w:type="dxa"/>
            <w:shd w:val="clear" w:color="auto" w:fill="E7E6E6" w:themeFill="background2"/>
            <w:vAlign w:val="center"/>
          </w:tcPr>
          <w:p w14:paraId="7CED027B" w14:textId="77777777" w:rsidR="00292462" w:rsidRPr="002F1077" w:rsidRDefault="00292462" w:rsidP="00314BFE">
            <w:pPr>
              <w:jc w:val="center"/>
              <w:rPr>
                <w:sz w:val="20"/>
                <w:szCs w:val="20"/>
                <w:lang w:val="lt-LT"/>
              </w:rPr>
            </w:pPr>
          </w:p>
        </w:tc>
        <w:tc>
          <w:tcPr>
            <w:tcW w:w="3261" w:type="dxa"/>
            <w:shd w:val="clear" w:color="auto" w:fill="E7E6E6" w:themeFill="background2"/>
            <w:vAlign w:val="center"/>
          </w:tcPr>
          <w:p w14:paraId="2B8513D5" w14:textId="77777777" w:rsidR="00292462" w:rsidRPr="002F1077" w:rsidRDefault="00292462" w:rsidP="00314BFE">
            <w:pPr>
              <w:jc w:val="center"/>
              <w:rPr>
                <w:b/>
                <w:bCs/>
                <w:sz w:val="20"/>
                <w:szCs w:val="20"/>
                <w:lang w:val="lt-LT"/>
              </w:rPr>
            </w:pPr>
            <w:r w:rsidRPr="002F1077">
              <w:rPr>
                <w:b/>
                <w:bCs/>
                <w:sz w:val="20"/>
                <w:szCs w:val="20"/>
                <w:lang w:val="lt-LT"/>
              </w:rPr>
              <w:t>Projektų konkursai</w:t>
            </w:r>
          </w:p>
        </w:tc>
        <w:tc>
          <w:tcPr>
            <w:tcW w:w="4488" w:type="dxa"/>
            <w:shd w:val="clear" w:color="auto" w:fill="E7E6E6" w:themeFill="background2"/>
            <w:vAlign w:val="center"/>
          </w:tcPr>
          <w:p w14:paraId="2B56A2A1" w14:textId="77777777" w:rsidR="00292462" w:rsidRPr="002F1077" w:rsidRDefault="00292462" w:rsidP="00314BFE">
            <w:pPr>
              <w:jc w:val="center"/>
              <w:rPr>
                <w:b/>
                <w:bCs/>
                <w:sz w:val="20"/>
                <w:szCs w:val="20"/>
                <w:lang w:val="lt-LT"/>
              </w:rPr>
            </w:pPr>
            <w:r w:rsidRPr="002F1077">
              <w:rPr>
                <w:b/>
                <w:bCs/>
                <w:sz w:val="20"/>
                <w:szCs w:val="20"/>
                <w:lang w:val="lt-LT"/>
              </w:rPr>
              <w:t>Rezervuotos sutartys</w:t>
            </w:r>
          </w:p>
        </w:tc>
        <w:tc>
          <w:tcPr>
            <w:tcW w:w="4442" w:type="dxa"/>
            <w:shd w:val="clear" w:color="auto" w:fill="E7E6E6" w:themeFill="background2"/>
            <w:vAlign w:val="center"/>
          </w:tcPr>
          <w:p w14:paraId="35A9C292" w14:textId="77777777" w:rsidR="00292462" w:rsidRPr="002F1077" w:rsidRDefault="00292462" w:rsidP="00314BFE">
            <w:pPr>
              <w:jc w:val="center"/>
              <w:rPr>
                <w:b/>
                <w:bCs/>
                <w:sz w:val="20"/>
                <w:szCs w:val="20"/>
                <w:lang w:val="lt-LT"/>
              </w:rPr>
            </w:pPr>
            <w:r w:rsidRPr="002F1077">
              <w:rPr>
                <w:b/>
                <w:bCs/>
                <w:sz w:val="20"/>
                <w:szCs w:val="20"/>
                <w:lang w:val="lt-LT"/>
              </w:rPr>
              <w:t>Akreditacija/Finansavimas nustatyto dydžio („krepšelio“) principu</w:t>
            </w:r>
          </w:p>
        </w:tc>
      </w:tr>
      <w:tr w:rsidR="00292462" w:rsidRPr="002F1077" w14:paraId="3360DF96" w14:textId="77777777" w:rsidTr="00314BFE">
        <w:tc>
          <w:tcPr>
            <w:tcW w:w="1696" w:type="dxa"/>
          </w:tcPr>
          <w:p w14:paraId="516A3EBD" w14:textId="77777777" w:rsidR="00292462" w:rsidRPr="002F1077" w:rsidRDefault="00292462" w:rsidP="00314BFE">
            <w:pPr>
              <w:rPr>
                <w:b/>
                <w:bCs/>
                <w:sz w:val="20"/>
                <w:szCs w:val="20"/>
                <w:lang w:val="lt-LT"/>
              </w:rPr>
            </w:pPr>
            <w:r w:rsidRPr="002F1077">
              <w:rPr>
                <w:b/>
                <w:bCs/>
                <w:sz w:val="20"/>
                <w:szCs w:val="20"/>
                <w:lang w:val="lt-LT"/>
              </w:rPr>
              <w:t>Galimi dalyviai</w:t>
            </w:r>
          </w:p>
        </w:tc>
        <w:tc>
          <w:tcPr>
            <w:tcW w:w="3261" w:type="dxa"/>
          </w:tcPr>
          <w:p w14:paraId="73F5C12F" w14:textId="77777777" w:rsidR="00292462" w:rsidRPr="002F1077" w:rsidRDefault="00292462" w:rsidP="00314BFE">
            <w:pPr>
              <w:rPr>
                <w:sz w:val="20"/>
                <w:szCs w:val="20"/>
                <w:lang w:val="lt-LT"/>
              </w:rPr>
            </w:pPr>
            <w:r w:rsidRPr="002F1077">
              <w:rPr>
                <w:sz w:val="20"/>
                <w:szCs w:val="20"/>
                <w:lang w:val="lt-LT"/>
              </w:rPr>
              <w:t xml:space="preserve">Ne pelno siekiantys viešieji juridiniai asmenys </w:t>
            </w:r>
          </w:p>
        </w:tc>
        <w:tc>
          <w:tcPr>
            <w:tcW w:w="4488" w:type="dxa"/>
          </w:tcPr>
          <w:p w14:paraId="360110D3" w14:textId="77777777" w:rsidR="00292462" w:rsidRPr="002F1077" w:rsidRDefault="00292462" w:rsidP="00314BFE">
            <w:pPr>
              <w:rPr>
                <w:sz w:val="20"/>
                <w:szCs w:val="20"/>
                <w:lang w:val="lt-LT"/>
              </w:rPr>
            </w:pPr>
            <w:r w:rsidRPr="002F1077">
              <w:rPr>
                <w:sz w:val="20"/>
                <w:szCs w:val="20"/>
                <w:lang w:val="lt-LT"/>
              </w:rPr>
              <w:t>Ne pelno siekiantys viešieji juridiniai asmenys, vykdantys veiklą pagal apibrėžtą galutinį BVPŽ kodų sąrašą. Įstatymu leidžiama pozityvioji diskriminacija</w:t>
            </w:r>
          </w:p>
        </w:tc>
        <w:tc>
          <w:tcPr>
            <w:tcW w:w="4442" w:type="dxa"/>
          </w:tcPr>
          <w:p w14:paraId="61EF4618" w14:textId="77777777" w:rsidR="00292462" w:rsidRPr="002F1077" w:rsidRDefault="00292462" w:rsidP="00314BFE">
            <w:pPr>
              <w:rPr>
                <w:sz w:val="20"/>
                <w:szCs w:val="20"/>
                <w:lang w:val="lt-LT"/>
              </w:rPr>
            </w:pPr>
            <w:r w:rsidRPr="002F1077">
              <w:rPr>
                <w:sz w:val="20"/>
                <w:szCs w:val="20"/>
                <w:lang w:val="lt-LT"/>
              </w:rPr>
              <w:t xml:space="preserve">Ne pelno siekiantys viešieji juridiniai asmenys, fiziniai asmenys </w:t>
            </w:r>
          </w:p>
        </w:tc>
      </w:tr>
      <w:tr w:rsidR="00292462" w:rsidRPr="002F1077" w14:paraId="58350214" w14:textId="77777777" w:rsidTr="00314BFE">
        <w:tc>
          <w:tcPr>
            <w:tcW w:w="1696" w:type="dxa"/>
          </w:tcPr>
          <w:p w14:paraId="266E414E" w14:textId="77777777" w:rsidR="00292462" w:rsidRPr="002F1077" w:rsidRDefault="00292462" w:rsidP="00314BFE">
            <w:pPr>
              <w:rPr>
                <w:b/>
                <w:bCs/>
                <w:sz w:val="20"/>
                <w:szCs w:val="20"/>
                <w:lang w:val="lt-LT"/>
              </w:rPr>
            </w:pPr>
            <w:r w:rsidRPr="002F1077">
              <w:rPr>
                <w:b/>
                <w:bCs/>
                <w:sz w:val="20"/>
                <w:szCs w:val="20"/>
                <w:lang w:val="lt-LT"/>
              </w:rPr>
              <w:t xml:space="preserve">Reikalavimai </w:t>
            </w:r>
          </w:p>
        </w:tc>
        <w:tc>
          <w:tcPr>
            <w:tcW w:w="3261" w:type="dxa"/>
          </w:tcPr>
          <w:p w14:paraId="6ECC0F92" w14:textId="77777777" w:rsidR="00292462" w:rsidRPr="002F1077" w:rsidRDefault="00292462" w:rsidP="00314BFE">
            <w:pPr>
              <w:rPr>
                <w:sz w:val="20"/>
                <w:szCs w:val="20"/>
                <w:lang w:val="lt-LT"/>
              </w:rPr>
            </w:pPr>
            <w:r w:rsidRPr="002F1077">
              <w:rPr>
                <w:sz w:val="20"/>
                <w:szCs w:val="20"/>
                <w:lang w:val="lt-LT"/>
              </w:rPr>
              <w:t>Sąlygų aprašas</w:t>
            </w:r>
          </w:p>
        </w:tc>
        <w:tc>
          <w:tcPr>
            <w:tcW w:w="4488" w:type="dxa"/>
          </w:tcPr>
          <w:p w14:paraId="257E43C2" w14:textId="77777777" w:rsidR="00292462" w:rsidRPr="002F1077" w:rsidRDefault="00292462" w:rsidP="00314BFE">
            <w:pPr>
              <w:rPr>
                <w:sz w:val="20"/>
                <w:szCs w:val="20"/>
                <w:lang w:val="lt-LT"/>
              </w:rPr>
            </w:pPr>
            <w:r w:rsidRPr="002F1077">
              <w:rPr>
                <w:sz w:val="20"/>
                <w:szCs w:val="20"/>
                <w:lang w:val="lt-LT"/>
              </w:rPr>
              <w:t>Techninė specifikacija</w:t>
            </w:r>
          </w:p>
          <w:p w14:paraId="77FA3CB8" w14:textId="77777777" w:rsidR="00292462" w:rsidRPr="002F1077" w:rsidRDefault="00292462" w:rsidP="00314BFE">
            <w:pPr>
              <w:rPr>
                <w:sz w:val="20"/>
                <w:szCs w:val="20"/>
                <w:lang w:val="lt-LT"/>
              </w:rPr>
            </w:pPr>
            <w:r w:rsidRPr="002F1077">
              <w:rPr>
                <w:sz w:val="20"/>
                <w:szCs w:val="20"/>
                <w:lang w:val="lt-LT"/>
              </w:rPr>
              <w:t xml:space="preserve"> </w:t>
            </w:r>
          </w:p>
        </w:tc>
        <w:tc>
          <w:tcPr>
            <w:tcW w:w="4442" w:type="dxa"/>
          </w:tcPr>
          <w:p w14:paraId="55F8577A" w14:textId="77777777" w:rsidR="00292462" w:rsidRPr="002F1077" w:rsidRDefault="00292462" w:rsidP="00314BFE">
            <w:pPr>
              <w:rPr>
                <w:sz w:val="20"/>
                <w:szCs w:val="20"/>
                <w:lang w:val="lt-LT"/>
              </w:rPr>
            </w:pPr>
            <w:r w:rsidRPr="002F1077">
              <w:rPr>
                <w:sz w:val="20"/>
                <w:szCs w:val="20"/>
                <w:lang w:val="lt-LT"/>
              </w:rPr>
              <w:t xml:space="preserve">Paslaugų aprašai </w:t>
            </w:r>
          </w:p>
          <w:p w14:paraId="3340CE3E" w14:textId="77777777" w:rsidR="00292462" w:rsidRPr="002F1077" w:rsidRDefault="00292462" w:rsidP="00314BFE">
            <w:pPr>
              <w:rPr>
                <w:sz w:val="20"/>
                <w:szCs w:val="20"/>
                <w:lang w:val="lt-LT"/>
              </w:rPr>
            </w:pPr>
            <w:r w:rsidRPr="002F1077">
              <w:rPr>
                <w:sz w:val="20"/>
                <w:szCs w:val="20"/>
                <w:lang w:val="lt-LT"/>
              </w:rPr>
              <w:t xml:space="preserve">Finansavimo sąlygų ir kokybės kontrolės tvarkų aprašai </w:t>
            </w:r>
          </w:p>
        </w:tc>
      </w:tr>
      <w:tr w:rsidR="00292462" w:rsidRPr="002F1077" w14:paraId="579EF49D" w14:textId="77777777" w:rsidTr="00314BFE">
        <w:tc>
          <w:tcPr>
            <w:tcW w:w="1696" w:type="dxa"/>
          </w:tcPr>
          <w:p w14:paraId="049DA624" w14:textId="77777777" w:rsidR="00292462" w:rsidRPr="002F1077" w:rsidRDefault="00292462" w:rsidP="00314BFE">
            <w:pPr>
              <w:rPr>
                <w:b/>
                <w:bCs/>
                <w:sz w:val="20"/>
                <w:szCs w:val="20"/>
                <w:lang w:val="lt-LT"/>
              </w:rPr>
            </w:pPr>
            <w:r w:rsidRPr="002F1077">
              <w:rPr>
                <w:b/>
                <w:bCs/>
                <w:sz w:val="20"/>
                <w:szCs w:val="20"/>
                <w:lang w:val="lt-LT"/>
              </w:rPr>
              <w:t xml:space="preserve">Trukmė </w:t>
            </w:r>
          </w:p>
        </w:tc>
        <w:tc>
          <w:tcPr>
            <w:tcW w:w="3261" w:type="dxa"/>
          </w:tcPr>
          <w:p w14:paraId="2EFB63A2" w14:textId="23515833" w:rsidR="00292462" w:rsidRPr="002F1077" w:rsidRDefault="00292462" w:rsidP="00314BFE">
            <w:pPr>
              <w:rPr>
                <w:sz w:val="20"/>
                <w:szCs w:val="20"/>
                <w:lang w:val="lt-LT"/>
              </w:rPr>
            </w:pPr>
            <w:r w:rsidRPr="002F1077">
              <w:rPr>
                <w:sz w:val="20"/>
                <w:szCs w:val="20"/>
                <w:lang w:val="lt-LT"/>
              </w:rPr>
              <w:t xml:space="preserve">Finansavimas 1 metai, tačiau sutartys gali būti sudaromos ir ilgesniam laikotarpiui </w:t>
            </w:r>
          </w:p>
        </w:tc>
        <w:tc>
          <w:tcPr>
            <w:tcW w:w="4488" w:type="dxa"/>
          </w:tcPr>
          <w:p w14:paraId="7D2A0C4C" w14:textId="77777777" w:rsidR="00292462" w:rsidRPr="002F1077" w:rsidRDefault="00292462" w:rsidP="00314BFE">
            <w:pPr>
              <w:rPr>
                <w:sz w:val="20"/>
                <w:szCs w:val="20"/>
                <w:lang w:val="lt-LT"/>
              </w:rPr>
            </w:pPr>
            <w:r w:rsidRPr="002F1077">
              <w:rPr>
                <w:sz w:val="20"/>
                <w:szCs w:val="20"/>
                <w:lang w:val="lt-LT"/>
              </w:rPr>
              <w:t>Finansavimas maksimaliai 3 metai</w:t>
            </w:r>
          </w:p>
        </w:tc>
        <w:tc>
          <w:tcPr>
            <w:tcW w:w="4442" w:type="dxa"/>
          </w:tcPr>
          <w:p w14:paraId="5126C6A1" w14:textId="1579130E" w:rsidR="00292462" w:rsidRPr="002F1077" w:rsidRDefault="00292462" w:rsidP="00314BFE">
            <w:pPr>
              <w:rPr>
                <w:sz w:val="20"/>
                <w:szCs w:val="20"/>
                <w:lang w:val="lt-LT"/>
              </w:rPr>
            </w:pPr>
            <w:r w:rsidRPr="002F1077">
              <w:rPr>
                <w:sz w:val="20"/>
                <w:szCs w:val="20"/>
                <w:lang w:val="lt-LT"/>
              </w:rPr>
              <w:t>Dažniausiai akreditacija sute</w:t>
            </w:r>
            <w:r w:rsidR="002F1077" w:rsidRPr="002F1077">
              <w:rPr>
                <w:sz w:val="20"/>
                <w:szCs w:val="20"/>
                <w:lang w:val="lt-LT"/>
              </w:rPr>
              <w:t>i</w:t>
            </w:r>
            <w:r w:rsidRPr="002F1077">
              <w:rPr>
                <w:sz w:val="20"/>
                <w:szCs w:val="20"/>
                <w:lang w:val="lt-LT"/>
              </w:rPr>
              <w:t xml:space="preserve">kiama 3 metams. Finansavimas 1 metai, tačiau galiojant akreditacijos periodui kitų metų finansavimas suteikiamas supaprastintų procedūrų būdu. </w:t>
            </w:r>
          </w:p>
        </w:tc>
      </w:tr>
      <w:tr w:rsidR="00292462" w:rsidRPr="002F1077" w14:paraId="4CB1976D" w14:textId="77777777" w:rsidTr="00314BFE">
        <w:tc>
          <w:tcPr>
            <w:tcW w:w="1696" w:type="dxa"/>
          </w:tcPr>
          <w:p w14:paraId="081B1AFB" w14:textId="77777777" w:rsidR="00292462" w:rsidRPr="002F1077" w:rsidRDefault="00292462" w:rsidP="00314BFE">
            <w:pPr>
              <w:rPr>
                <w:b/>
                <w:bCs/>
                <w:sz w:val="20"/>
                <w:szCs w:val="20"/>
                <w:lang w:val="lt-LT"/>
              </w:rPr>
            </w:pPr>
            <w:r w:rsidRPr="002F1077">
              <w:rPr>
                <w:b/>
                <w:bCs/>
                <w:sz w:val="20"/>
                <w:szCs w:val="20"/>
                <w:lang w:val="lt-LT"/>
              </w:rPr>
              <w:t xml:space="preserve">Administravimas </w:t>
            </w:r>
          </w:p>
        </w:tc>
        <w:tc>
          <w:tcPr>
            <w:tcW w:w="3261" w:type="dxa"/>
          </w:tcPr>
          <w:p w14:paraId="12E6D0E6" w14:textId="77777777" w:rsidR="00292462" w:rsidRPr="002F1077" w:rsidRDefault="00292462" w:rsidP="00314BFE">
            <w:pPr>
              <w:rPr>
                <w:sz w:val="20"/>
                <w:szCs w:val="20"/>
                <w:lang w:val="lt-LT"/>
              </w:rPr>
            </w:pPr>
            <w:r w:rsidRPr="002F1077">
              <w:rPr>
                <w:sz w:val="20"/>
                <w:szCs w:val="20"/>
                <w:lang w:val="lt-LT"/>
              </w:rPr>
              <w:t>Projekto paraiškos parengimas, sutarties sudarymas, sutarties įgyvendinimas, ataskaitų parengimas</w:t>
            </w:r>
          </w:p>
        </w:tc>
        <w:tc>
          <w:tcPr>
            <w:tcW w:w="4488" w:type="dxa"/>
          </w:tcPr>
          <w:p w14:paraId="3BE8C67F" w14:textId="77777777" w:rsidR="00292462" w:rsidRPr="002F1077" w:rsidRDefault="00292462" w:rsidP="00314BFE">
            <w:pPr>
              <w:rPr>
                <w:sz w:val="20"/>
                <w:szCs w:val="20"/>
                <w:lang w:val="lt-LT"/>
              </w:rPr>
            </w:pPr>
            <w:r w:rsidRPr="002F1077">
              <w:rPr>
                <w:sz w:val="20"/>
                <w:szCs w:val="20"/>
                <w:lang w:val="lt-LT"/>
              </w:rPr>
              <w:t>Pasiūlymo parengimas, sutarties vykdymas, sąskaitos išrašymas, priėmimo – perdavimo aktas</w:t>
            </w:r>
          </w:p>
        </w:tc>
        <w:tc>
          <w:tcPr>
            <w:tcW w:w="4442" w:type="dxa"/>
          </w:tcPr>
          <w:p w14:paraId="6C13BFCA" w14:textId="6D41E4FB" w:rsidR="00292462" w:rsidRPr="002F1077" w:rsidRDefault="007269A8" w:rsidP="00314BFE">
            <w:pPr>
              <w:rPr>
                <w:sz w:val="20"/>
                <w:szCs w:val="20"/>
                <w:lang w:val="lt-LT"/>
              </w:rPr>
            </w:pPr>
            <w:r w:rsidRPr="002F1077">
              <w:rPr>
                <w:sz w:val="20"/>
                <w:szCs w:val="20"/>
                <w:lang w:val="lt-LT"/>
              </w:rPr>
              <w:t>T</w:t>
            </w:r>
            <w:r>
              <w:rPr>
                <w:sz w:val="20"/>
                <w:szCs w:val="20"/>
                <w:lang w:val="lt-LT"/>
              </w:rPr>
              <w:t>rejų metų s</w:t>
            </w:r>
            <w:r w:rsidR="00292462" w:rsidRPr="002F1077">
              <w:rPr>
                <w:sz w:val="20"/>
                <w:szCs w:val="20"/>
                <w:lang w:val="lt-LT"/>
              </w:rPr>
              <w:t>utarties sudarymas ir jos vykdymas, ataskaitų parengimas</w:t>
            </w:r>
            <w:r>
              <w:rPr>
                <w:sz w:val="20"/>
                <w:szCs w:val="20"/>
                <w:lang w:val="lt-LT"/>
              </w:rPr>
              <w:t>, administravimas</w:t>
            </w:r>
          </w:p>
        </w:tc>
      </w:tr>
      <w:tr w:rsidR="00292462" w:rsidRPr="002F1077" w14:paraId="62A1A763" w14:textId="77777777" w:rsidTr="00314BFE">
        <w:tc>
          <w:tcPr>
            <w:tcW w:w="1696" w:type="dxa"/>
          </w:tcPr>
          <w:p w14:paraId="540B11EE" w14:textId="77777777" w:rsidR="00292462" w:rsidRPr="002F1077" w:rsidRDefault="00292462" w:rsidP="00314BFE">
            <w:pPr>
              <w:rPr>
                <w:b/>
                <w:bCs/>
                <w:sz w:val="20"/>
                <w:szCs w:val="20"/>
                <w:lang w:val="lt-LT"/>
              </w:rPr>
            </w:pPr>
            <w:r w:rsidRPr="002F1077">
              <w:rPr>
                <w:b/>
                <w:bCs/>
                <w:sz w:val="20"/>
                <w:szCs w:val="20"/>
                <w:lang w:val="lt-LT"/>
              </w:rPr>
              <w:t xml:space="preserve">Apribojimai </w:t>
            </w:r>
          </w:p>
        </w:tc>
        <w:tc>
          <w:tcPr>
            <w:tcW w:w="3261" w:type="dxa"/>
          </w:tcPr>
          <w:p w14:paraId="47BBAF6D" w14:textId="77777777" w:rsidR="00292462" w:rsidRPr="002F1077" w:rsidRDefault="00292462" w:rsidP="00314BFE">
            <w:pPr>
              <w:rPr>
                <w:sz w:val="20"/>
                <w:szCs w:val="20"/>
                <w:lang w:val="lt-LT"/>
              </w:rPr>
            </w:pPr>
            <w:r w:rsidRPr="002F1077">
              <w:rPr>
                <w:sz w:val="20"/>
                <w:szCs w:val="20"/>
                <w:lang w:val="lt-LT"/>
              </w:rPr>
              <w:t xml:space="preserve">Priklauso nuo sąlygų aprašo, pvz. dažnu atveju negalimas ilgalaikio turto įsigijimas </w:t>
            </w:r>
          </w:p>
        </w:tc>
        <w:tc>
          <w:tcPr>
            <w:tcW w:w="4488" w:type="dxa"/>
          </w:tcPr>
          <w:p w14:paraId="0645CBE2" w14:textId="77777777" w:rsidR="00292462" w:rsidRPr="002F1077" w:rsidRDefault="00292462" w:rsidP="00314BFE">
            <w:pPr>
              <w:rPr>
                <w:sz w:val="20"/>
                <w:szCs w:val="20"/>
                <w:lang w:val="lt-LT"/>
              </w:rPr>
            </w:pPr>
            <w:r w:rsidRPr="002F1077">
              <w:rPr>
                <w:sz w:val="20"/>
                <w:szCs w:val="20"/>
                <w:lang w:val="lt-LT"/>
              </w:rPr>
              <w:t xml:space="preserve">Ne visos ne pelno siekiančios organizacijos gali dalyvauti, nes patvirtintas baigtinis BVPŽ kodų sąrašas. </w:t>
            </w:r>
          </w:p>
          <w:p w14:paraId="3EAB4411" w14:textId="77777777" w:rsidR="00292462" w:rsidRPr="002F1077" w:rsidRDefault="00292462" w:rsidP="00314BFE">
            <w:pPr>
              <w:rPr>
                <w:sz w:val="20"/>
                <w:szCs w:val="20"/>
                <w:lang w:val="lt-LT"/>
              </w:rPr>
            </w:pPr>
          </w:p>
          <w:p w14:paraId="4B5F0509" w14:textId="1770B2D5" w:rsidR="00292462" w:rsidRPr="002F1077" w:rsidRDefault="00292462" w:rsidP="00314BFE">
            <w:pPr>
              <w:rPr>
                <w:sz w:val="20"/>
                <w:szCs w:val="20"/>
                <w:lang w:val="lt-LT"/>
              </w:rPr>
            </w:pPr>
            <w:r w:rsidRPr="002F1077">
              <w:rPr>
                <w:sz w:val="20"/>
                <w:szCs w:val="20"/>
                <w:lang w:val="lt-LT"/>
              </w:rPr>
              <w:t>Asignavimų valdytojai rengdami technines specifikacijas turi labai konkrečiai suplanuoti veiklas ir priemones, kurios būtinos siektiniems rodikliams įgyvendinti</w:t>
            </w:r>
            <w:r w:rsidR="007269A8">
              <w:rPr>
                <w:sz w:val="20"/>
                <w:szCs w:val="20"/>
                <w:lang w:val="lt-LT"/>
              </w:rPr>
              <w:t xml:space="preserve"> ir šios veiklos nėra ribojamos biudžetinių metų laikotarpio.</w:t>
            </w:r>
          </w:p>
        </w:tc>
        <w:tc>
          <w:tcPr>
            <w:tcW w:w="4442" w:type="dxa"/>
          </w:tcPr>
          <w:p w14:paraId="17510157" w14:textId="6717BAD2" w:rsidR="00292462" w:rsidRPr="002F1077" w:rsidRDefault="00292462" w:rsidP="00314BFE">
            <w:pPr>
              <w:rPr>
                <w:sz w:val="20"/>
                <w:szCs w:val="20"/>
                <w:lang w:val="lt-LT"/>
              </w:rPr>
            </w:pPr>
            <w:r w:rsidRPr="002F1077">
              <w:rPr>
                <w:sz w:val="20"/>
                <w:szCs w:val="20"/>
                <w:lang w:val="lt-LT"/>
              </w:rPr>
              <w:t xml:space="preserve">Ne visos ne pelno siekiančios organizacijos gali dalyvauti, nes </w:t>
            </w:r>
            <w:r w:rsidR="00D635BD" w:rsidRPr="002F1077">
              <w:rPr>
                <w:sz w:val="20"/>
                <w:szCs w:val="20"/>
                <w:lang w:val="lt-LT"/>
              </w:rPr>
              <w:t>būtina atitikti akreditavimo sąlygas</w:t>
            </w:r>
            <w:r w:rsidRPr="002F1077">
              <w:rPr>
                <w:sz w:val="20"/>
                <w:szCs w:val="20"/>
                <w:lang w:val="lt-LT"/>
              </w:rPr>
              <w:t>.</w:t>
            </w:r>
          </w:p>
          <w:p w14:paraId="19AD1CA2" w14:textId="77777777" w:rsidR="00292462" w:rsidRPr="002F1077" w:rsidRDefault="00292462" w:rsidP="00314BFE">
            <w:pPr>
              <w:rPr>
                <w:sz w:val="20"/>
                <w:szCs w:val="20"/>
                <w:lang w:val="lt-LT"/>
              </w:rPr>
            </w:pPr>
          </w:p>
          <w:p w14:paraId="213024E8" w14:textId="77777777" w:rsidR="00292462" w:rsidRPr="002F1077" w:rsidRDefault="00292462" w:rsidP="00314BFE">
            <w:pPr>
              <w:rPr>
                <w:sz w:val="20"/>
                <w:szCs w:val="20"/>
                <w:lang w:val="lt-LT"/>
              </w:rPr>
            </w:pPr>
            <w:r w:rsidRPr="002F1077">
              <w:rPr>
                <w:sz w:val="20"/>
                <w:szCs w:val="20"/>
                <w:lang w:val="lt-LT"/>
              </w:rPr>
              <w:t>Gali būti taikoma kuomet aiškiai galima identifikuoti paslaugos gavėjų skaičių ir apskaičiuoti standartinę sumą asmeniui dienai/mėnesiui/metams</w:t>
            </w:r>
          </w:p>
          <w:p w14:paraId="4F0498A5" w14:textId="77777777" w:rsidR="00292462" w:rsidRPr="002F1077" w:rsidRDefault="00292462" w:rsidP="00314BFE">
            <w:pPr>
              <w:rPr>
                <w:sz w:val="20"/>
                <w:szCs w:val="20"/>
                <w:lang w:val="lt-LT"/>
              </w:rPr>
            </w:pPr>
          </w:p>
          <w:p w14:paraId="7E60CCE7" w14:textId="77777777" w:rsidR="00292462" w:rsidRPr="002F1077" w:rsidRDefault="00292462" w:rsidP="00314BFE">
            <w:pPr>
              <w:rPr>
                <w:sz w:val="20"/>
                <w:szCs w:val="20"/>
                <w:lang w:val="lt-LT"/>
              </w:rPr>
            </w:pPr>
          </w:p>
        </w:tc>
      </w:tr>
      <w:tr w:rsidR="00292462" w:rsidRPr="002F1077" w14:paraId="4416E889" w14:textId="77777777" w:rsidTr="00314BFE">
        <w:tc>
          <w:tcPr>
            <w:tcW w:w="1696" w:type="dxa"/>
          </w:tcPr>
          <w:p w14:paraId="6E9F6956" w14:textId="77777777" w:rsidR="00292462" w:rsidRPr="002F1077" w:rsidRDefault="00292462" w:rsidP="00314BFE">
            <w:pPr>
              <w:rPr>
                <w:b/>
                <w:bCs/>
                <w:sz w:val="20"/>
                <w:szCs w:val="20"/>
                <w:lang w:val="lt-LT"/>
              </w:rPr>
            </w:pPr>
            <w:r w:rsidRPr="002F1077">
              <w:rPr>
                <w:b/>
                <w:bCs/>
                <w:sz w:val="20"/>
                <w:szCs w:val="20"/>
                <w:lang w:val="lt-LT"/>
              </w:rPr>
              <w:t xml:space="preserve">Privalumai </w:t>
            </w:r>
          </w:p>
        </w:tc>
        <w:tc>
          <w:tcPr>
            <w:tcW w:w="3261" w:type="dxa"/>
          </w:tcPr>
          <w:p w14:paraId="7499096A" w14:textId="77777777" w:rsidR="00292462" w:rsidRPr="002F1077" w:rsidRDefault="00292462" w:rsidP="00314BFE">
            <w:pPr>
              <w:rPr>
                <w:sz w:val="20"/>
                <w:szCs w:val="20"/>
                <w:lang w:val="lt-LT"/>
              </w:rPr>
            </w:pPr>
            <w:r w:rsidRPr="002F1077">
              <w:rPr>
                <w:sz w:val="20"/>
                <w:szCs w:val="20"/>
                <w:lang w:val="lt-LT"/>
              </w:rPr>
              <w:t>Asignavimų valdytojui pakanka stebėti pagrindinius siektinus rodiklius. Projektų rengėjai siūlo inovatyvius sprendimus. Projektinis finansavimas yra inovacijų paieška ir naujų sprendimų (idėjų) finansavimas</w:t>
            </w:r>
          </w:p>
        </w:tc>
        <w:tc>
          <w:tcPr>
            <w:tcW w:w="4488" w:type="dxa"/>
          </w:tcPr>
          <w:p w14:paraId="2E0B2D68" w14:textId="77777777" w:rsidR="00292462" w:rsidRPr="002F1077" w:rsidRDefault="00292462" w:rsidP="00314BFE">
            <w:pPr>
              <w:rPr>
                <w:sz w:val="20"/>
                <w:szCs w:val="20"/>
                <w:lang w:val="lt-LT"/>
              </w:rPr>
            </w:pPr>
            <w:r w:rsidRPr="002F1077">
              <w:rPr>
                <w:sz w:val="20"/>
                <w:szCs w:val="20"/>
                <w:lang w:val="lt-LT"/>
              </w:rPr>
              <w:t xml:space="preserve">Galima rezervuoti finansavimo sumas pagal specialius BPŽP kodus ir paslaugas pirkti iš pelno nesiekiančių juridinių asmenų. Puiki alternatyva projektiniam finansavimui, užtikrinant tęstines veiklas. </w:t>
            </w:r>
          </w:p>
          <w:p w14:paraId="7DD9B908" w14:textId="77777777" w:rsidR="00292462" w:rsidRPr="002F1077" w:rsidRDefault="00292462" w:rsidP="00314BFE">
            <w:pPr>
              <w:rPr>
                <w:sz w:val="20"/>
                <w:szCs w:val="20"/>
                <w:lang w:val="lt-LT"/>
              </w:rPr>
            </w:pPr>
            <w:r w:rsidRPr="002F1077">
              <w:rPr>
                <w:sz w:val="20"/>
                <w:szCs w:val="20"/>
                <w:lang w:val="lt-LT"/>
              </w:rPr>
              <w:t>Mažesnė administracinė našta organizacijoms teikiant ataskaitas.</w:t>
            </w:r>
          </w:p>
        </w:tc>
        <w:tc>
          <w:tcPr>
            <w:tcW w:w="4442" w:type="dxa"/>
          </w:tcPr>
          <w:p w14:paraId="249C6856" w14:textId="7682FD5E" w:rsidR="00292462" w:rsidRPr="002F1077" w:rsidRDefault="00292462" w:rsidP="00314BFE">
            <w:pPr>
              <w:rPr>
                <w:sz w:val="20"/>
                <w:szCs w:val="20"/>
                <w:lang w:val="lt-LT"/>
              </w:rPr>
            </w:pPr>
            <w:r w:rsidRPr="002F1077">
              <w:rPr>
                <w:sz w:val="20"/>
                <w:szCs w:val="20"/>
                <w:lang w:val="lt-LT"/>
              </w:rPr>
              <w:t xml:space="preserve">Jau veikia švietimo, sveikatos ir socialinių paslaugų teikimo sistemoje, todėl galima remtis </w:t>
            </w:r>
            <w:r w:rsidR="00A17610">
              <w:rPr>
                <w:sz w:val="20"/>
                <w:szCs w:val="20"/>
                <w:lang w:val="lt-LT"/>
              </w:rPr>
              <w:t xml:space="preserve">jų </w:t>
            </w:r>
            <w:r w:rsidRPr="002F1077">
              <w:rPr>
                <w:sz w:val="20"/>
                <w:szCs w:val="20"/>
                <w:lang w:val="lt-LT"/>
              </w:rPr>
              <w:t xml:space="preserve">patirtimi siekiant sukurti </w:t>
            </w:r>
            <w:r w:rsidR="006C249F">
              <w:rPr>
                <w:sz w:val="20"/>
                <w:szCs w:val="20"/>
                <w:lang w:val="lt-LT"/>
              </w:rPr>
              <w:t>liberalizuotą</w:t>
            </w:r>
            <w:r w:rsidRPr="002F1077">
              <w:rPr>
                <w:sz w:val="20"/>
                <w:szCs w:val="20"/>
                <w:lang w:val="lt-LT"/>
              </w:rPr>
              <w:t xml:space="preserve"> vieš</w:t>
            </w:r>
            <w:r w:rsidR="006C249F">
              <w:rPr>
                <w:sz w:val="20"/>
                <w:szCs w:val="20"/>
                <w:lang w:val="lt-LT"/>
              </w:rPr>
              <w:t>ųjų</w:t>
            </w:r>
            <w:r w:rsidRPr="002F1077">
              <w:rPr>
                <w:sz w:val="20"/>
                <w:szCs w:val="20"/>
                <w:lang w:val="lt-LT"/>
              </w:rPr>
              <w:t xml:space="preserve"> paslaug</w:t>
            </w:r>
            <w:r w:rsidR="006C249F">
              <w:rPr>
                <w:sz w:val="20"/>
                <w:szCs w:val="20"/>
                <w:lang w:val="lt-LT"/>
              </w:rPr>
              <w:t>ų sektorių</w:t>
            </w:r>
            <w:r w:rsidRPr="002F1077">
              <w:rPr>
                <w:sz w:val="20"/>
                <w:szCs w:val="20"/>
                <w:lang w:val="lt-LT"/>
              </w:rPr>
              <w:t>.</w:t>
            </w:r>
          </w:p>
          <w:p w14:paraId="1F5B6B9C" w14:textId="77777777" w:rsidR="00292462" w:rsidRPr="002F1077" w:rsidRDefault="00292462" w:rsidP="00314BFE">
            <w:pPr>
              <w:rPr>
                <w:sz w:val="20"/>
                <w:szCs w:val="20"/>
                <w:lang w:val="lt-LT"/>
              </w:rPr>
            </w:pPr>
          </w:p>
          <w:p w14:paraId="113BF446" w14:textId="77777777" w:rsidR="00292462" w:rsidRPr="002F1077" w:rsidRDefault="00292462" w:rsidP="00314BFE">
            <w:pPr>
              <w:rPr>
                <w:sz w:val="20"/>
                <w:szCs w:val="20"/>
                <w:lang w:val="lt-LT"/>
              </w:rPr>
            </w:pPr>
            <w:r w:rsidRPr="002F1077">
              <w:rPr>
                <w:sz w:val="20"/>
                <w:szCs w:val="20"/>
                <w:lang w:val="lt-LT"/>
              </w:rPr>
              <w:t>Mažesnė administracinė našta organizacijoms teikiant ataskaitas.</w:t>
            </w:r>
          </w:p>
        </w:tc>
      </w:tr>
    </w:tbl>
    <w:p w14:paraId="3DE3B812" w14:textId="77777777" w:rsidR="00292462" w:rsidRPr="002F1077" w:rsidRDefault="00292462" w:rsidP="00292462">
      <w:pPr>
        <w:spacing w:before="120"/>
        <w:jc w:val="both"/>
        <w:rPr>
          <w:color w:val="000000"/>
        </w:rPr>
      </w:pPr>
    </w:p>
    <w:p w14:paraId="64195E62" w14:textId="77777777" w:rsidR="00292462" w:rsidRPr="002F1077" w:rsidRDefault="00292462" w:rsidP="00292462">
      <w:pPr>
        <w:spacing w:before="120"/>
        <w:jc w:val="both"/>
        <w:rPr>
          <w:color w:val="000000"/>
        </w:rPr>
      </w:pPr>
    </w:p>
    <w:p w14:paraId="3C46B942" w14:textId="77777777" w:rsidR="00292462" w:rsidRPr="002F1077" w:rsidRDefault="00292462" w:rsidP="00292462">
      <w:pPr>
        <w:spacing w:before="120"/>
        <w:jc w:val="both"/>
        <w:rPr>
          <w:color w:val="000000"/>
        </w:rPr>
      </w:pPr>
    </w:p>
    <w:p w14:paraId="003DE2C9" w14:textId="77777777" w:rsidR="00292462" w:rsidRPr="002F1077" w:rsidRDefault="00292462" w:rsidP="00292462">
      <w:pPr>
        <w:spacing w:before="120"/>
        <w:jc w:val="both"/>
        <w:rPr>
          <w:color w:val="000000"/>
        </w:rPr>
      </w:pPr>
    </w:p>
    <w:p w14:paraId="6131E946" w14:textId="77777777" w:rsidR="00292462" w:rsidRPr="002F1077" w:rsidRDefault="00292462" w:rsidP="00292462">
      <w:pPr>
        <w:spacing w:before="120"/>
        <w:jc w:val="both"/>
        <w:rPr>
          <w:color w:val="000000"/>
        </w:rPr>
      </w:pPr>
    </w:p>
    <w:p w14:paraId="2FD30A42" w14:textId="77777777" w:rsidR="00292462" w:rsidRPr="002F1077" w:rsidRDefault="00292462" w:rsidP="00292462">
      <w:pPr>
        <w:jc w:val="both"/>
        <w:rPr>
          <w:color w:val="000000"/>
          <w:sz w:val="20"/>
          <w:szCs w:val="20"/>
        </w:rPr>
      </w:pPr>
    </w:p>
    <w:p w14:paraId="4E3D4B0F" w14:textId="77777777" w:rsidR="00292462" w:rsidRPr="002F1077" w:rsidRDefault="00292462" w:rsidP="00292462">
      <w:pPr>
        <w:jc w:val="both"/>
        <w:rPr>
          <w:color w:val="000000"/>
          <w:sz w:val="20"/>
          <w:szCs w:val="20"/>
        </w:rPr>
      </w:pPr>
      <w:r w:rsidRPr="002F1077">
        <w:rPr>
          <w:b/>
          <w:bCs/>
          <w:color w:val="000000"/>
          <w:sz w:val="20"/>
          <w:szCs w:val="20"/>
        </w:rPr>
        <w:lastRenderedPageBreak/>
        <w:t>Akreditacija: būtinoji</w:t>
      </w:r>
      <w:r w:rsidRPr="002F1077">
        <w:rPr>
          <w:color w:val="000000"/>
          <w:sz w:val="20"/>
          <w:szCs w:val="20"/>
        </w:rPr>
        <w:t xml:space="preserve"> pagal LR socialinių paslaugų įstatymą </w:t>
      </w:r>
      <w:r w:rsidRPr="002F1077">
        <w:rPr>
          <w:b/>
          <w:bCs/>
          <w:color w:val="000000"/>
          <w:sz w:val="20"/>
          <w:szCs w:val="20"/>
        </w:rPr>
        <w:t>ir galima</w:t>
      </w:r>
      <w:r w:rsidRPr="002F1077">
        <w:rPr>
          <w:color w:val="000000"/>
          <w:sz w:val="20"/>
          <w:szCs w:val="20"/>
        </w:rPr>
        <w:t xml:space="preserve"> (taikoma) pačios institucijos iniciatyva</w:t>
      </w:r>
    </w:p>
    <w:p w14:paraId="20756A6C" w14:textId="77777777" w:rsidR="00292462" w:rsidRPr="002F1077" w:rsidRDefault="00292462" w:rsidP="00292462">
      <w:pPr>
        <w:jc w:val="both"/>
        <w:rPr>
          <w:color w:val="000000"/>
          <w:sz w:val="20"/>
          <w:szCs w:val="20"/>
        </w:rPr>
      </w:pPr>
    </w:p>
    <w:p w14:paraId="53808142" w14:textId="77777777" w:rsidR="00292462" w:rsidRPr="002F1077" w:rsidRDefault="00292462" w:rsidP="00292462">
      <w:pPr>
        <w:jc w:val="both"/>
        <w:rPr>
          <w:color w:val="000000"/>
          <w:sz w:val="20"/>
          <w:szCs w:val="20"/>
        </w:rPr>
      </w:pPr>
      <w:r w:rsidRPr="002F1077">
        <w:rPr>
          <w:color w:val="000000"/>
          <w:sz w:val="20"/>
          <w:szCs w:val="20"/>
        </w:rPr>
        <w:t xml:space="preserve">Pagal </w:t>
      </w:r>
      <w:hyperlink r:id="rId9" w:history="1">
        <w:r w:rsidRPr="002F1077">
          <w:rPr>
            <w:rStyle w:val="Hyperlink"/>
            <w:sz w:val="20"/>
            <w:szCs w:val="20"/>
          </w:rPr>
          <w:t>Socialinių paslaugų įstatymo</w:t>
        </w:r>
      </w:hyperlink>
      <w:r w:rsidRPr="002F1077">
        <w:rPr>
          <w:color w:val="000000"/>
          <w:sz w:val="20"/>
          <w:szCs w:val="20"/>
        </w:rPr>
        <w:t xml:space="preserve"> 25</w:t>
      </w:r>
      <w:r w:rsidRPr="002F1077">
        <w:rPr>
          <w:color w:val="000000"/>
          <w:sz w:val="20"/>
          <w:szCs w:val="20"/>
          <w:vertAlign w:val="superscript"/>
        </w:rPr>
        <w:t>1 </w:t>
      </w:r>
      <w:r w:rsidRPr="002F1077">
        <w:rPr>
          <w:color w:val="000000"/>
          <w:sz w:val="20"/>
          <w:szCs w:val="20"/>
        </w:rPr>
        <w:t>straipsnį „Socialinės priežiūros akreditavimas“ reglamentuojama, kad</w:t>
      </w:r>
      <w:bookmarkStart w:id="2" w:name="part_30543e01b5a54e39a2b7dad1c68f5124"/>
      <w:bookmarkEnd w:id="2"/>
      <w:r w:rsidRPr="002F1077">
        <w:rPr>
          <w:color w:val="000000"/>
          <w:sz w:val="20"/>
          <w:szCs w:val="20"/>
        </w:rPr>
        <w:t xml:space="preserve"> 1) socialinę priežiūrą akredituoja savivaldybės socialinės apsaugos ir darbo ministro nustatyta tvarka ir kad</w:t>
      </w:r>
      <w:bookmarkStart w:id="3" w:name="part_058d1014e00d47e79eb2f3ad78b3ed78"/>
      <w:bookmarkEnd w:id="3"/>
      <w:r w:rsidRPr="002F1077">
        <w:rPr>
          <w:color w:val="000000"/>
          <w:sz w:val="20"/>
          <w:szCs w:val="20"/>
        </w:rPr>
        <w:t xml:space="preserve"> 2) valstybės ir savivaldybių biudžetų lėšomis gali būti </w:t>
      </w:r>
      <w:r w:rsidRPr="002F1077">
        <w:rPr>
          <w:b/>
          <w:bCs/>
          <w:color w:val="000000"/>
          <w:sz w:val="20"/>
          <w:szCs w:val="20"/>
        </w:rPr>
        <w:t>finansuojama tik akredituota socialinė priežiūra</w:t>
      </w:r>
      <w:r w:rsidRPr="002F1077">
        <w:rPr>
          <w:color w:val="000000"/>
          <w:sz w:val="20"/>
          <w:szCs w:val="20"/>
        </w:rPr>
        <w:t>.</w:t>
      </w:r>
    </w:p>
    <w:p w14:paraId="03EB9A85" w14:textId="77777777" w:rsidR="00292462" w:rsidRPr="002F1077" w:rsidRDefault="00292462" w:rsidP="00292462">
      <w:pPr>
        <w:jc w:val="both"/>
        <w:rPr>
          <w:color w:val="000000"/>
          <w:sz w:val="20"/>
          <w:szCs w:val="20"/>
        </w:rPr>
      </w:pPr>
      <w:bookmarkStart w:id="4" w:name="part_3fe9ba6b456f491f96d8ad92c8a3a874"/>
      <w:bookmarkEnd w:id="4"/>
    </w:p>
    <w:p w14:paraId="0093961E" w14:textId="77777777" w:rsidR="00292462" w:rsidRPr="002F1077" w:rsidRDefault="00292462" w:rsidP="00292462">
      <w:pPr>
        <w:jc w:val="both"/>
        <w:rPr>
          <w:color w:val="000000"/>
          <w:sz w:val="20"/>
          <w:szCs w:val="20"/>
        </w:rPr>
      </w:pPr>
      <w:r w:rsidRPr="002F1077">
        <w:rPr>
          <w:color w:val="000000"/>
          <w:sz w:val="20"/>
          <w:szCs w:val="20"/>
        </w:rPr>
        <w:t xml:space="preserve">Visos socialinės paslaugos yra aprašytos </w:t>
      </w:r>
      <w:hyperlink r:id="rId10" w:history="1">
        <w:r w:rsidRPr="002F1077">
          <w:rPr>
            <w:rStyle w:val="Hyperlink"/>
            <w:sz w:val="20"/>
            <w:szCs w:val="20"/>
          </w:rPr>
          <w:t>Socialinių paslaugų kataloge</w:t>
        </w:r>
      </w:hyperlink>
      <w:r w:rsidRPr="002F1077">
        <w:rPr>
          <w:color w:val="000000"/>
          <w:sz w:val="20"/>
          <w:szCs w:val="20"/>
        </w:rPr>
        <w:t>:</w:t>
      </w:r>
    </w:p>
    <w:p w14:paraId="38F2C069" w14:textId="77777777" w:rsidR="00292462" w:rsidRPr="002F1077" w:rsidRDefault="00292462" w:rsidP="00292462">
      <w:pPr>
        <w:jc w:val="both"/>
        <w:rPr>
          <w:color w:val="000000"/>
          <w:sz w:val="20"/>
          <w:szCs w:val="20"/>
        </w:rPr>
      </w:pPr>
    </w:p>
    <w:tbl>
      <w:tblPr>
        <w:tblStyle w:val="TableGrid"/>
        <w:tblW w:w="0" w:type="auto"/>
        <w:tblLook w:val="04A0" w:firstRow="1" w:lastRow="0" w:firstColumn="1" w:lastColumn="0" w:noHBand="0" w:noVBand="1"/>
      </w:tblPr>
      <w:tblGrid>
        <w:gridCol w:w="5807"/>
        <w:gridCol w:w="4820"/>
        <w:gridCol w:w="3321"/>
      </w:tblGrid>
      <w:tr w:rsidR="00292462" w:rsidRPr="002F1077" w14:paraId="2F588515" w14:textId="77777777" w:rsidTr="00314BFE">
        <w:tc>
          <w:tcPr>
            <w:tcW w:w="5807" w:type="dxa"/>
            <w:shd w:val="clear" w:color="auto" w:fill="C9C9C9" w:themeFill="accent3" w:themeFillTint="99"/>
          </w:tcPr>
          <w:p w14:paraId="53CC48DF" w14:textId="77777777" w:rsidR="00292462" w:rsidRPr="002F1077" w:rsidRDefault="00292462" w:rsidP="00314BFE">
            <w:pPr>
              <w:jc w:val="center"/>
              <w:rPr>
                <w:b/>
                <w:bCs/>
                <w:sz w:val="18"/>
                <w:szCs w:val="18"/>
                <w:lang w:val="lt-LT"/>
              </w:rPr>
            </w:pPr>
            <w:r w:rsidRPr="002F1077">
              <w:rPr>
                <w:b/>
                <w:bCs/>
                <w:sz w:val="18"/>
                <w:szCs w:val="18"/>
                <w:lang w:val="lt-LT"/>
              </w:rPr>
              <w:t xml:space="preserve">Bendrosios </w:t>
            </w:r>
            <w:proofErr w:type="spellStart"/>
            <w:r w:rsidRPr="002F1077">
              <w:rPr>
                <w:b/>
                <w:bCs/>
                <w:sz w:val="18"/>
                <w:szCs w:val="18"/>
                <w:lang w:val="lt-LT"/>
              </w:rPr>
              <w:t>socialinės</w:t>
            </w:r>
            <w:proofErr w:type="spellEnd"/>
            <w:r w:rsidRPr="002F1077">
              <w:rPr>
                <w:b/>
                <w:bCs/>
                <w:sz w:val="18"/>
                <w:szCs w:val="18"/>
                <w:lang w:val="lt-LT"/>
              </w:rPr>
              <w:t xml:space="preserve"> paslaugos</w:t>
            </w:r>
          </w:p>
        </w:tc>
        <w:tc>
          <w:tcPr>
            <w:tcW w:w="8141" w:type="dxa"/>
            <w:gridSpan w:val="2"/>
            <w:shd w:val="clear" w:color="auto" w:fill="C9C9C9" w:themeFill="accent3" w:themeFillTint="99"/>
          </w:tcPr>
          <w:p w14:paraId="5F147850" w14:textId="77777777" w:rsidR="00292462" w:rsidRPr="002F1077" w:rsidRDefault="00292462" w:rsidP="00314BFE">
            <w:pPr>
              <w:jc w:val="center"/>
              <w:rPr>
                <w:b/>
                <w:bCs/>
                <w:sz w:val="18"/>
                <w:szCs w:val="18"/>
                <w:lang w:val="lt-LT"/>
              </w:rPr>
            </w:pPr>
            <w:r w:rsidRPr="002F1077">
              <w:rPr>
                <w:b/>
                <w:bCs/>
                <w:sz w:val="18"/>
                <w:szCs w:val="18"/>
                <w:lang w:val="lt-LT"/>
              </w:rPr>
              <w:t xml:space="preserve">Specialiosios </w:t>
            </w:r>
            <w:proofErr w:type="spellStart"/>
            <w:r w:rsidRPr="002F1077">
              <w:rPr>
                <w:b/>
                <w:bCs/>
                <w:sz w:val="18"/>
                <w:szCs w:val="18"/>
                <w:lang w:val="lt-LT"/>
              </w:rPr>
              <w:t>socialinės</w:t>
            </w:r>
            <w:proofErr w:type="spellEnd"/>
            <w:r w:rsidRPr="002F1077">
              <w:rPr>
                <w:b/>
                <w:bCs/>
                <w:sz w:val="18"/>
                <w:szCs w:val="18"/>
                <w:lang w:val="lt-LT"/>
              </w:rPr>
              <w:t xml:space="preserve"> paslaugos</w:t>
            </w:r>
          </w:p>
        </w:tc>
      </w:tr>
      <w:tr w:rsidR="00292462" w:rsidRPr="002F1077" w14:paraId="7E81AF61" w14:textId="77777777" w:rsidTr="00314BFE">
        <w:tc>
          <w:tcPr>
            <w:tcW w:w="5807" w:type="dxa"/>
            <w:shd w:val="clear" w:color="auto" w:fill="DBDBDB" w:themeFill="accent3" w:themeFillTint="66"/>
          </w:tcPr>
          <w:p w14:paraId="71F63F4E" w14:textId="77777777" w:rsidR="00292462" w:rsidRPr="002F1077" w:rsidRDefault="00292462" w:rsidP="00314BFE">
            <w:pPr>
              <w:jc w:val="center"/>
              <w:rPr>
                <w:b/>
                <w:bCs/>
                <w:sz w:val="18"/>
                <w:szCs w:val="18"/>
                <w:lang w:val="lt-LT"/>
              </w:rPr>
            </w:pPr>
          </w:p>
        </w:tc>
        <w:tc>
          <w:tcPr>
            <w:tcW w:w="4820" w:type="dxa"/>
            <w:shd w:val="clear" w:color="auto" w:fill="DBDBDB" w:themeFill="accent3" w:themeFillTint="66"/>
          </w:tcPr>
          <w:p w14:paraId="0EE79AE2" w14:textId="77777777" w:rsidR="00292462" w:rsidRPr="002F1077" w:rsidRDefault="00292462" w:rsidP="00314BFE">
            <w:pPr>
              <w:jc w:val="center"/>
              <w:rPr>
                <w:b/>
                <w:bCs/>
                <w:sz w:val="18"/>
                <w:szCs w:val="18"/>
                <w:lang w:val="lt-LT"/>
              </w:rPr>
            </w:pPr>
            <w:proofErr w:type="spellStart"/>
            <w:r w:rsidRPr="002F1077">
              <w:rPr>
                <w:b/>
                <w:bCs/>
                <w:sz w:val="18"/>
                <w:szCs w:val="18"/>
                <w:lang w:val="lt-LT"/>
              </w:rPr>
              <w:t>Socialinės</w:t>
            </w:r>
            <w:proofErr w:type="spellEnd"/>
            <w:r w:rsidRPr="002F1077">
              <w:rPr>
                <w:b/>
                <w:bCs/>
                <w:sz w:val="18"/>
                <w:szCs w:val="18"/>
                <w:lang w:val="lt-LT"/>
              </w:rPr>
              <w:t xml:space="preserve"> </w:t>
            </w:r>
            <w:proofErr w:type="spellStart"/>
            <w:r w:rsidRPr="002F1077">
              <w:rPr>
                <w:b/>
                <w:bCs/>
                <w:sz w:val="18"/>
                <w:szCs w:val="18"/>
                <w:lang w:val="lt-LT"/>
              </w:rPr>
              <w:t>priežiūros</w:t>
            </w:r>
            <w:proofErr w:type="spellEnd"/>
            <w:r w:rsidRPr="002F1077">
              <w:rPr>
                <w:b/>
                <w:bCs/>
                <w:sz w:val="18"/>
                <w:szCs w:val="18"/>
                <w:lang w:val="lt-LT"/>
              </w:rPr>
              <w:t xml:space="preserve"> (SP) paslaugos</w:t>
            </w:r>
          </w:p>
        </w:tc>
        <w:tc>
          <w:tcPr>
            <w:tcW w:w="3321" w:type="dxa"/>
            <w:shd w:val="clear" w:color="auto" w:fill="DBDBDB" w:themeFill="accent3" w:themeFillTint="66"/>
          </w:tcPr>
          <w:p w14:paraId="662D9A34" w14:textId="77777777" w:rsidR="00292462" w:rsidRPr="002F1077" w:rsidRDefault="00292462" w:rsidP="00314BFE">
            <w:pPr>
              <w:jc w:val="center"/>
              <w:rPr>
                <w:b/>
                <w:bCs/>
                <w:sz w:val="18"/>
                <w:szCs w:val="18"/>
                <w:lang w:val="lt-LT"/>
              </w:rPr>
            </w:pPr>
            <w:proofErr w:type="spellStart"/>
            <w:r w:rsidRPr="002F1077">
              <w:rPr>
                <w:b/>
                <w:bCs/>
                <w:sz w:val="18"/>
                <w:szCs w:val="18"/>
                <w:lang w:val="lt-LT"/>
              </w:rPr>
              <w:t>Socialinės</w:t>
            </w:r>
            <w:proofErr w:type="spellEnd"/>
            <w:r w:rsidRPr="002F1077">
              <w:rPr>
                <w:b/>
                <w:bCs/>
                <w:sz w:val="18"/>
                <w:szCs w:val="18"/>
                <w:lang w:val="lt-LT"/>
              </w:rPr>
              <w:t xml:space="preserve"> globos (SG) paslaugos</w:t>
            </w:r>
          </w:p>
        </w:tc>
      </w:tr>
      <w:tr w:rsidR="00292462" w:rsidRPr="002F1077" w14:paraId="3537355A" w14:textId="77777777" w:rsidTr="00314BFE">
        <w:tc>
          <w:tcPr>
            <w:tcW w:w="5807" w:type="dxa"/>
            <w:shd w:val="clear" w:color="auto" w:fill="auto"/>
          </w:tcPr>
          <w:p w14:paraId="50320B0E" w14:textId="77777777" w:rsidR="00292462" w:rsidRPr="002F1077" w:rsidRDefault="00292462" w:rsidP="00314BFE">
            <w:pPr>
              <w:rPr>
                <w:sz w:val="18"/>
                <w:szCs w:val="18"/>
                <w:lang w:val="lt-LT"/>
              </w:rPr>
            </w:pPr>
            <w:r w:rsidRPr="002F1077">
              <w:rPr>
                <w:sz w:val="18"/>
                <w:szCs w:val="18"/>
                <w:lang w:val="lt-LT"/>
              </w:rPr>
              <w:t>1. Informavimas</w:t>
            </w:r>
            <w:r w:rsidRPr="002F1077">
              <w:rPr>
                <w:sz w:val="18"/>
                <w:szCs w:val="18"/>
                <w:lang w:val="lt-LT"/>
              </w:rPr>
              <w:br/>
              <w:t>2. Konsultavimas</w:t>
            </w:r>
            <w:r w:rsidRPr="002F1077">
              <w:rPr>
                <w:sz w:val="18"/>
                <w:szCs w:val="18"/>
                <w:lang w:val="lt-LT"/>
              </w:rPr>
              <w:br/>
              <w:t xml:space="preserve">3. Tarpininkavimas ir atstovavimas </w:t>
            </w:r>
          </w:p>
          <w:p w14:paraId="2ADF0ACE" w14:textId="77777777" w:rsidR="00292462" w:rsidRPr="002F1077" w:rsidRDefault="00292462" w:rsidP="00314BFE">
            <w:pPr>
              <w:rPr>
                <w:sz w:val="18"/>
                <w:szCs w:val="18"/>
                <w:lang w:val="lt-LT"/>
              </w:rPr>
            </w:pPr>
            <w:r w:rsidRPr="002F1077">
              <w:rPr>
                <w:sz w:val="18"/>
                <w:szCs w:val="18"/>
                <w:lang w:val="lt-LT"/>
              </w:rPr>
              <w:t xml:space="preserve">4. Maitinimo organizavimas </w:t>
            </w:r>
          </w:p>
          <w:p w14:paraId="49AE37D5" w14:textId="77777777" w:rsidR="00292462" w:rsidRPr="002F1077" w:rsidRDefault="00292462" w:rsidP="00314BFE">
            <w:pPr>
              <w:rPr>
                <w:sz w:val="18"/>
                <w:szCs w:val="18"/>
                <w:lang w:val="lt-LT"/>
              </w:rPr>
            </w:pPr>
            <w:r w:rsidRPr="002F1077">
              <w:rPr>
                <w:sz w:val="18"/>
                <w:szCs w:val="18"/>
                <w:lang w:val="lt-LT"/>
              </w:rPr>
              <w:t xml:space="preserve">5. </w:t>
            </w:r>
            <w:proofErr w:type="spellStart"/>
            <w:r w:rsidRPr="002F1077">
              <w:rPr>
                <w:sz w:val="18"/>
                <w:szCs w:val="18"/>
                <w:lang w:val="lt-LT"/>
              </w:rPr>
              <w:t>Aprūpinimas</w:t>
            </w:r>
            <w:proofErr w:type="spellEnd"/>
            <w:r w:rsidRPr="002F1077">
              <w:rPr>
                <w:sz w:val="18"/>
                <w:szCs w:val="18"/>
                <w:lang w:val="lt-LT"/>
              </w:rPr>
              <w:t xml:space="preserve"> </w:t>
            </w:r>
            <w:proofErr w:type="spellStart"/>
            <w:r w:rsidRPr="002F1077">
              <w:rPr>
                <w:sz w:val="18"/>
                <w:szCs w:val="18"/>
                <w:lang w:val="lt-LT"/>
              </w:rPr>
              <w:t>būtiniausiais</w:t>
            </w:r>
            <w:proofErr w:type="spellEnd"/>
            <w:r w:rsidRPr="002F1077">
              <w:rPr>
                <w:sz w:val="18"/>
                <w:szCs w:val="18"/>
                <w:lang w:val="lt-LT"/>
              </w:rPr>
              <w:t xml:space="preserve"> </w:t>
            </w:r>
            <w:proofErr w:type="spellStart"/>
            <w:r w:rsidRPr="002F1077">
              <w:rPr>
                <w:sz w:val="18"/>
                <w:szCs w:val="18"/>
                <w:lang w:val="lt-LT"/>
              </w:rPr>
              <w:t>drabužiais</w:t>
            </w:r>
            <w:proofErr w:type="spellEnd"/>
            <w:r w:rsidRPr="002F1077">
              <w:rPr>
                <w:sz w:val="18"/>
                <w:szCs w:val="18"/>
                <w:lang w:val="lt-LT"/>
              </w:rPr>
              <w:t xml:space="preserve"> ir avalyne</w:t>
            </w:r>
            <w:r w:rsidRPr="002F1077">
              <w:rPr>
                <w:sz w:val="18"/>
                <w:szCs w:val="18"/>
                <w:lang w:val="lt-LT"/>
              </w:rPr>
              <w:br/>
              <w:t>6. Transporto organizavimas</w:t>
            </w:r>
            <w:r w:rsidRPr="002F1077">
              <w:rPr>
                <w:sz w:val="18"/>
                <w:szCs w:val="18"/>
                <w:lang w:val="lt-LT"/>
              </w:rPr>
              <w:br/>
              <w:t xml:space="preserve">7. </w:t>
            </w:r>
            <w:proofErr w:type="spellStart"/>
            <w:r w:rsidRPr="002F1077">
              <w:rPr>
                <w:sz w:val="18"/>
                <w:szCs w:val="18"/>
                <w:lang w:val="lt-LT"/>
              </w:rPr>
              <w:t>Sociokultūrinės</w:t>
            </w:r>
            <w:proofErr w:type="spellEnd"/>
            <w:r w:rsidRPr="002F1077">
              <w:rPr>
                <w:sz w:val="18"/>
                <w:szCs w:val="18"/>
                <w:lang w:val="lt-LT"/>
              </w:rPr>
              <w:t xml:space="preserve"> paslaugos </w:t>
            </w:r>
          </w:p>
          <w:p w14:paraId="3BA0CCA8" w14:textId="77777777" w:rsidR="00292462" w:rsidRPr="002F1077" w:rsidRDefault="00292462" w:rsidP="00314BFE">
            <w:pPr>
              <w:rPr>
                <w:b/>
                <w:bCs/>
                <w:sz w:val="18"/>
                <w:szCs w:val="18"/>
                <w:lang w:val="lt-LT"/>
              </w:rPr>
            </w:pPr>
            <w:r w:rsidRPr="002F1077">
              <w:rPr>
                <w:sz w:val="18"/>
                <w:szCs w:val="18"/>
                <w:lang w:val="lt-LT"/>
              </w:rPr>
              <w:t xml:space="preserve">8. </w:t>
            </w:r>
            <w:proofErr w:type="spellStart"/>
            <w:r w:rsidRPr="002F1077">
              <w:rPr>
                <w:sz w:val="18"/>
                <w:szCs w:val="18"/>
                <w:lang w:val="lt-LT"/>
              </w:rPr>
              <w:t>Asmeninės</w:t>
            </w:r>
            <w:proofErr w:type="spellEnd"/>
            <w:r w:rsidRPr="002F1077">
              <w:rPr>
                <w:sz w:val="18"/>
                <w:szCs w:val="18"/>
                <w:lang w:val="lt-LT"/>
              </w:rPr>
              <w:t xml:space="preserve"> higienos ir </w:t>
            </w:r>
            <w:proofErr w:type="spellStart"/>
            <w:r w:rsidRPr="002F1077">
              <w:rPr>
                <w:sz w:val="18"/>
                <w:szCs w:val="18"/>
                <w:lang w:val="lt-LT"/>
              </w:rPr>
              <w:t>priežiūros</w:t>
            </w:r>
            <w:proofErr w:type="spellEnd"/>
            <w:r w:rsidRPr="002F1077">
              <w:rPr>
                <w:sz w:val="18"/>
                <w:szCs w:val="18"/>
                <w:lang w:val="lt-LT"/>
              </w:rPr>
              <w:t xml:space="preserve"> paslaugų organizavimas</w:t>
            </w:r>
            <w:r w:rsidRPr="002F1077">
              <w:rPr>
                <w:sz w:val="18"/>
                <w:szCs w:val="18"/>
                <w:lang w:val="lt-LT"/>
              </w:rPr>
              <w:br/>
              <w:t xml:space="preserve">9. </w:t>
            </w:r>
            <w:r w:rsidRPr="002F1077">
              <w:rPr>
                <w:b/>
                <w:bCs/>
                <w:sz w:val="18"/>
                <w:szCs w:val="18"/>
                <w:lang w:val="lt-LT"/>
              </w:rPr>
              <w:t>Atvirasis darbas su jaunimu</w:t>
            </w:r>
          </w:p>
          <w:p w14:paraId="22D8208D" w14:textId="77777777" w:rsidR="00292462" w:rsidRPr="002F1077" w:rsidRDefault="00292462" w:rsidP="00314BFE">
            <w:pPr>
              <w:rPr>
                <w:sz w:val="18"/>
                <w:szCs w:val="18"/>
                <w:lang w:val="lt-LT"/>
              </w:rPr>
            </w:pPr>
            <w:r w:rsidRPr="002F1077">
              <w:rPr>
                <w:sz w:val="18"/>
                <w:szCs w:val="18"/>
                <w:lang w:val="lt-LT"/>
              </w:rPr>
              <w:t xml:space="preserve">10. </w:t>
            </w:r>
            <w:r w:rsidRPr="002F1077">
              <w:rPr>
                <w:b/>
                <w:bCs/>
                <w:sz w:val="18"/>
                <w:szCs w:val="18"/>
                <w:lang w:val="lt-LT"/>
              </w:rPr>
              <w:t>Mobilusis darbas su jaunimu</w:t>
            </w:r>
            <w:r w:rsidRPr="002F1077">
              <w:rPr>
                <w:sz w:val="18"/>
                <w:szCs w:val="18"/>
                <w:lang w:val="lt-LT"/>
              </w:rPr>
              <w:br/>
              <w:t xml:space="preserve">11. </w:t>
            </w:r>
            <w:r w:rsidRPr="002F1077">
              <w:rPr>
                <w:b/>
                <w:bCs/>
                <w:sz w:val="18"/>
                <w:szCs w:val="18"/>
                <w:lang w:val="lt-LT"/>
              </w:rPr>
              <w:t xml:space="preserve">Darbas su jaunimu </w:t>
            </w:r>
            <w:proofErr w:type="spellStart"/>
            <w:r w:rsidRPr="002F1077">
              <w:rPr>
                <w:b/>
                <w:bCs/>
                <w:sz w:val="18"/>
                <w:szCs w:val="18"/>
                <w:lang w:val="lt-LT"/>
              </w:rPr>
              <w:t>gatvėje</w:t>
            </w:r>
            <w:proofErr w:type="spellEnd"/>
            <w:r w:rsidRPr="002F1077">
              <w:rPr>
                <w:sz w:val="18"/>
                <w:szCs w:val="18"/>
                <w:lang w:val="lt-LT"/>
              </w:rPr>
              <w:t xml:space="preserve"> </w:t>
            </w:r>
          </w:p>
          <w:p w14:paraId="58657AB1" w14:textId="77777777" w:rsidR="00292462" w:rsidRPr="002F1077" w:rsidRDefault="00292462" w:rsidP="00314BFE">
            <w:pPr>
              <w:rPr>
                <w:sz w:val="18"/>
                <w:szCs w:val="18"/>
                <w:lang w:val="lt-LT"/>
              </w:rPr>
            </w:pPr>
            <w:r w:rsidRPr="002F1077">
              <w:rPr>
                <w:sz w:val="18"/>
                <w:szCs w:val="18"/>
                <w:lang w:val="lt-LT"/>
              </w:rPr>
              <w:t xml:space="preserve">12. Kitos bendrosios socialinės paslaugos (pvz. maisto produktų nupirkimas, </w:t>
            </w:r>
            <w:proofErr w:type="spellStart"/>
            <w:r w:rsidRPr="002F1077">
              <w:rPr>
                <w:sz w:val="18"/>
                <w:szCs w:val="18"/>
                <w:lang w:val="lt-LT"/>
              </w:rPr>
              <w:t>palydėjimas</w:t>
            </w:r>
            <w:proofErr w:type="spellEnd"/>
            <w:r w:rsidRPr="002F1077">
              <w:rPr>
                <w:sz w:val="18"/>
                <w:szCs w:val="18"/>
                <w:lang w:val="lt-LT"/>
              </w:rPr>
              <w:t xml:space="preserve"> į </w:t>
            </w:r>
            <w:proofErr w:type="spellStart"/>
            <w:r w:rsidRPr="002F1077">
              <w:rPr>
                <w:sz w:val="18"/>
                <w:szCs w:val="18"/>
                <w:lang w:val="lt-LT"/>
              </w:rPr>
              <w:t>įvairias</w:t>
            </w:r>
            <w:proofErr w:type="spellEnd"/>
            <w:r w:rsidRPr="002F1077">
              <w:rPr>
                <w:sz w:val="18"/>
                <w:szCs w:val="18"/>
                <w:lang w:val="lt-LT"/>
              </w:rPr>
              <w:t xml:space="preserve"> </w:t>
            </w:r>
            <w:proofErr w:type="spellStart"/>
            <w:r w:rsidRPr="002F1077">
              <w:rPr>
                <w:sz w:val="18"/>
                <w:szCs w:val="18"/>
                <w:lang w:val="lt-LT"/>
              </w:rPr>
              <w:t>įstaigas</w:t>
            </w:r>
            <w:proofErr w:type="spellEnd"/>
            <w:r w:rsidRPr="002F1077">
              <w:rPr>
                <w:sz w:val="18"/>
                <w:szCs w:val="18"/>
                <w:lang w:val="lt-LT"/>
              </w:rPr>
              <w:t xml:space="preserve"> ir </w:t>
            </w:r>
            <w:proofErr w:type="spellStart"/>
            <w:r w:rsidRPr="002F1077">
              <w:rPr>
                <w:sz w:val="18"/>
                <w:szCs w:val="18"/>
                <w:lang w:val="lt-LT"/>
              </w:rPr>
              <w:t>kt</w:t>
            </w:r>
            <w:proofErr w:type="spellEnd"/>
            <w:r w:rsidRPr="002F1077">
              <w:rPr>
                <w:sz w:val="18"/>
                <w:szCs w:val="18"/>
                <w:lang w:val="lt-LT"/>
              </w:rPr>
              <w:t xml:space="preserve">, dalis pagalbos į namus paslaugos </w:t>
            </w:r>
          </w:p>
          <w:p w14:paraId="4820BE5A" w14:textId="77777777" w:rsidR="00292462" w:rsidRPr="002F1077" w:rsidRDefault="00292462" w:rsidP="00314BFE">
            <w:pPr>
              <w:rPr>
                <w:sz w:val="18"/>
                <w:szCs w:val="18"/>
                <w:lang w:val="lt-LT"/>
              </w:rPr>
            </w:pPr>
          </w:p>
        </w:tc>
        <w:tc>
          <w:tcPr>
            <w:tcW w:w="4820" w:type="dxa"/>
            <w:shd w:val="clear" w:color="auto" w:fill="auto"/>
          </w:tcPr>
          <w:p w14:paraId="2B336BAC" w14:textId="77777777" w:rsidR="00292462" w:rsidRPr="002F1077" w:rsidRDefault="00292462" w:rsidP="00314BFE">
            <w:pPr>
              <w:rPr>
                <w:sz w:val="18"/>
                <w:szCs w:val="18"/>
                <w:lang w:val="lt-LT"/>
              </w:rPr>
            </w:pPr>
            <w:r w:rsidRPr="002F1077">
              <w:rPr>
                <w:sz w:val="18"/>
                <w:szCs w:val="18"/>
                <w:lang w:val="lt-LT"/>
              </w:rPr>
              <w:t>1. Pagalba į namus</w:t>
            </w:r>
            <w:r w:rsidRPr="002F1077">
              <w:rPr>
                <w:sz w:val="18"/>
                <w:szCs w:val="18"/>
                <w:lang w:val="lt-LT"/>
              </w:rPr>
              <w:br/>
              <w:t xml:space="preserve">2. Socialinių </w:t>
            </w:r>
            <w:proofErr w:type="spellStart"/>
            <w:r w:rsidRPr="002F1077">
              <w:rPr>
                <w:sz w:val="18"/>
                <w:szCs w:val="18"/>
                <w:lang w:val="lt-LT"/>
              </w:rPr>
              <w:t>įgūdžiu</w:t>
            </w:r>
            <w:proofErr w:type="spellEnd"/>
            <w:r w:rsidRPr="002F1077">
              <w:rPr>
                <w:sz w:val="18"/>
                <w:szCs w:val="18"/>
                <w:lang w:val="lt-LT"/>
              </w:rPr>
              <w:t xml:space="preserve">̨ ugdymas, palaikymas ir (ar) </w:t>
            </w:r>
            <w:proofErr w:type="spellStart"/>
            <w:r w:rsidRPr="002F1077">
              <w:rPr>
                <w:sz w:val="18"/>
                <w:szCs w:val="18"/>
                <w:lang w:val="lt-LT"/>
              </w:rPr>
              <w:t>atkūrimas</w:t>
            </w:r>
            <w:proofErr w:type="spellEnd"/>
            <w:r w:rsidRPr="002F1077">
              <w:rPr>
                <w:sz w:val="18"/>
                <w:szCs w:val="18"/>
                <w:lang w:val="lt-LT"/>
              </w:rPr>
              <w:br/>
              <w:t xml:space="preserve">3. Apgyvendinimas </w:t>
            </w:r>
            <w:proofErr w:type="spellStart"/>
            <w:r w:rsidRPr="002F1077">
              <w:rPr>
                <w:sz w:val="18"/>
                <w:szCs w:val="18"/>
                <w:lang w:val="lt-LT"/>
              </w:rPr>
              <w:t>savarankiško</w:t>
            </w:r>
            <w:proofErr w:type="spellEnd"/>
            <w:r w:rsidRPr="002F1077">
              <w:rPr>
                <w:sz w:val="18"/>
                <w:szCs w:val="18"/>
                <w:lang w:val="lt-LT"/>
              </w:rPr>
              <w:t xml:space="preserve"> gyvenimo namuose</w:t>
            </w:r>
            <w:r w:rsidRPr="002F1077">
              <w:rPr>
                <w:sz w:val="18"/>
                <w:szCs w:val="18"/>
                <w:lang w:val="lt-LT"/>
              </w:rPr>
              <w:br/>
              <w:t xml:space="preserve">4. Laikinas </w:t>
            </w:r>
            <w:proofErr w:type="spellStart"/>
            <w:r w:rsidRPr="002F1077">
              <w:rPr>
                <w:sz w:val="18"/>
                <w:szCs w:val="18"/>
                <w:lang w:val="lt-LT"/>
              </w:rPr>
              <w:t>apnakvindinimas</w:t>
            </w:r>
            <w:proofErr w:type="spellEnd"/>
            <w:r w:rsidRPr="002F1077">
              <w:rPr>
                <w:sz w:val="18"/>
                <w:szCs w:val="18"/>
                <w:lang w:val="lt-LT"/>
              </w:rPr>
              <w:br/>
              <w:t xml:space="preserve">5. Intensyvi </w:t>
            </w:r>
            <w:proofErr w:type="spellStart"/>
            <w:r w:rsidRPr="002F1077">
              <w:rPr>
                <w:sz w:val="18"/>
                <w:szCs w:val="18"/>
                <w:lang w:val="lt-LT"/>
              </w:rPr>
              <w:t>kriziu</w:t>
            </w:r>
            <w:proofErr w:type="spellEnd"/>
            <w:r w:rsidRPr="002F1077">
              <w:rPr>
                <w:sz w:val="18"/>
                <w:szCs w:val="18"/>
                <w:lang w:val="lt-LT"/>
              </w:rPr>
              <w:t xml:space="preserve">̨ </w:t>
            </w:r>
            <w:proofErr w:type="spellStart"/>
            <w:r w:rsidRPr="002F1077">
              <w:rPr>
                <w:sz w:val="18"/>
                <w:szCs w:val="18"/>
                <w:lang w:val="lt-LT"/>
              </w:rPr>
              <w:t>įveikimo</w:t>
            </w:r>
            <w:proofErr w:type="spellEnd"/>
            <w:r w:rsidRPr="002F1077">
              <w:rPr>
                <w:sz w:val="18"/>
                <w:szCs w:val="18"/>
                <w:lang w:val="lt-LT"/>
              </w:rPr>
              <w:t xml:space="preserve"> pagalba</w:t>
            </w:r>
            <w:r w:rsidRPr="002F1077">
              <w:rPr>
                <w:sz w:val="18"/>
                <w:szCs w:val="18"/>
                <w:lang w:val="lt-LT"/>
              </w:rPr>
              <w:br/>
              <w:t>6. Psichosocialinė pagalba</w:t>
            </w:r>
            <w:r w:rsidRPr="002F1077">
              <w:rPr>
                <w:sz w:val="18"/>
                <w:szCs w:val="18"/>
                <w:lang w:val="lt-LT"/>
              </w:rPr>
              <w:br/>
              <w:t xml:space="preserve">7. Apgyvendinimas </w:t>
            </w:r>
            <w:proofErr w:type="spellStart"/>
            <w:r w:rsidRPr="002F1077">
              <w:rPr>
                <w:sz w:val="18"/>
                <w:szCs w:val="18"/>
                <w:lang w:val="lt-LT"/>
              </w:rPr>
              <w:t>nakvynės</w:t>
            </w:r>
            <w:proofErr w:type="spellEnd"/>
            <w:r w:rsidRPr="002F1077">
              <w:rPr>
                <w:sz w:val="18"/>
                <w:szCs w:val="18"/>
                <w:lang w:val="lt-LT"/>
              </w:rPr>
              <w:t xml:space="preserve"> namuose </w:t>
            </w:r>
          </w:p>
          <w:p w14:paraId="6EB66B51" w14:textId="77777777" w:rsidR="00292462" w:rsidRPr="002F1077" w:rsidRDefault="00292462" w:rsidP="00314BFE">
            <w:pPr>
              <w:rPr>
                <w:sz w:val="18"/>
                <w:szCs w:val="18"/>
                <w:lang w:val="lt-LT"/>
              </w:rPr>
            </w:pPr>
            <w:r w:rsidRPr="002F1077">
              <w:rPr>
                <w:sz w:val="18"/>
                <w:szCs w:val="18"/>
                <w:lang w:val="lt-LT"/>
              </w:rPr>
              <w:t xml:space="preserve">8. Laikinas </w:t>
            </w:r>
            <w:proofErr w:type="spellStart"/>
            <w:r w:rsidRPr="002F1077">
              <w:rPr>
                <w:sz w:val="18"/>
                <w:szCs w:val="18"/>
                <w:lang w:val="lt-LT"/>
              </w:rPr>
              <w:t>atokvėpis</w:t>
            </w:r>
            <w:proofErr w:type="spellEnd"/>
            <w:r w:rsidRPr="002F1077">
              <w:rPr>
                <w:sz w:val="18"/>
                <w:szCs w:val="18"/>
                <w:lang w:val="lt-LT"/>
              </w:rPr>
              <w:br/>
              <w:t xml:space="preserve">9. Pagalba </w:t>
            </w:r>
            <w:proofErr w:type="spellStart"/>
            <w:r w:rsidRPr="002F1077">
              <w:rPr>
                <w:sz w:val="18"/>
                <w:szCs w:val="18"/>
                <w:lang w:val="lt-LT"/>
              </w:rPr>
              <w:t>globėjams</w:t>
            </w:r>
            <w:proofErr w:type="spellEnd"/>
            <w:r w:rsidRPr="002F1077">
              <w:rPr>
                <w:sz w:val="18"/>
                <w:szCs w:val="18"/>
                <w:lang w:val="lt-LT"/>
              </w:rPr>
              <w:t xml:space="preserve"> (</w:t>
            </w:r>
            <w:proofErr w:type="spellStart"/>
            <w:r w:rsidRPr="002F1077">
              <w:rPr>
                <w:sz w:val="18"/>
                <w:szCs w:val="18"/>
                <w:lang w:val="lt-LT"/>
              </w:rPr>
              <w:t>rūpintojams</w:t>
            </w:r>
            <w:proofErr w:type="spellEnd"/>
            <w:r w:rsidRPr="002F1077">
              <w:rPr>
                <w:sz w:val="18"/>
                <w:szCs w:val="18"/>
                <w:lang w:val="lt-LT"/>
              </w:rPr>
              <w:t xml:space="preserve">), budintiems globotojams, įtėviams ir </w:t>
            </w:r>
            <w:proofErr w:type="spellStart"/>
            <w:r w:rsidRPr="002F1077">
              <w:rPr>
                <w:sz w:val="18"/>
                <w:szCs w:val="18"/>
                <w:lang w:val="lt-LT"/>
              </w:rPr>
              <w:t>šeimynu</w:t>
            </w:r>
            <w:proofErr w:type="spellEnd"/>
            <w:r w:rsidRPr="002F1077">
              <w:rPr>
                <w:sz w:val="18"/>
                <w:szCs w:val="18"/>
                <w:lang w:val="lt-LT"/>
              </w:rPr>
              <w:t>̨ dalyviams ar besirengiantiems jais tapti</w:t>
            </w:r>
            <w:r w:rsidRPr="002F1077">
              <w:rPr>
                <w:sz w:val="18"/>
                <w:szCs w:val="18"/>
                <w:lang w:val="lt-LT"/>
              </w:rPr>
              <w:br/>
              <w:t xml:space="preserve">10. Apgyvendinimas apsaugotame </w:t>
            </w:r>
            <w:proofErr w:type="spellStart"/>
            <w:r w:rsidRPr="002F1077">
              <w:rPr>
                <w:sz w:val="18"/>
                <w:szCs w:val="18"/>
                <w:lang w:val="lt-LT"/>
              </w:rPr>
              <w:t>būste</w:t>
            </w:r>
            <w:proofErr w:type="spellEnd"/>
            <w:r w:rsidRPr="002F1077">
              <w:rPr>
                <w:sz w:val="18"/>
                <w:szCs w:val="18"/>
                <w:lang w:val="lt-LT"/>
              </w:rPr>
              <w:br/>
              <w:t xml:space="preserve">11. Vaikų dienos socialinė </w:t>
            </w:r>
            <w:proofErr w:type="spellStart"/>
            <w:r w:rsidRPr="002F1077">
              <w:rPr>
                <w:sz w:val="18"/>
                <w:szCs w:val="18"/>
                <w:lang w:val="lt-LT"/>
              </w:rPr>
              <w:t>priežiūra</w:t>
            </w:r>
            <w:proofErr w:type="spellEnd"/>
            <w:r w:rsidRPr="002F1077">
              <w:rPr>
                <w:sz w:val="18"/>
                <w:szCs w:val="18"/>
                <w:lang w:val="lt-LT"/>
              </w:rPr>
              <w:t xml:space="preserve"> </w:t>
            </w:r>
          </w:p>
          <w:p w14:paraId="673FE75A" w14:textId="77777777" w:rsidR="00292462" w:rsidRPr="002F1077" w:rsidRDefault="00292462" w:rsidP="00314BFE">
            <w:pPr>
              <w:rPr>
                <w:sz w:val="18"/>
                <w:szCs w:val="18"/>
                <w:lang w:val="lt-LT"/>
              </w:rPr>
            </w:pPr>
            <w:r w:rsidRPr="002F1077">
              <w:rPr>
                <w:sz w:val="18"/>
                <w:szCs w:val="18"/>
                <w:lang w:val="lt-LT"/>
              </w:rPr>
              <w:t xml:space="preserve">12. </w:t>
            </w:r>
            <w:proofErr w:type="spellStart"/>
            <w:r w:rsidRPr="002F1077">
              <w:rPr>
                <w:b/>
                <w:bCs/>
                <w:sz w:val="18"/>
                <w:szCs w:val="18"/>
                <w:lang w:val="lt-LT"/>
              </w:rPr>
              <w:t>Palydėjimo</w:t>
            </w:r>
            <w:proofErr w:type="spellEnd"/>
            <w:r w:rsidRPr="002F1077">
              <w:rPr>
                <w:b/>
                <w:bCs/>
                <w:sz w:val="18"/>
                <w:szCs w:val="18"/>
                <w:lang w:val="lt-LT"/>
              </w:rPr>
              <w:t xml:space="preserve"> paslauga jaunuoliams</w:t>
            </w:r>
            <w:r w:rsidRPr="002F1077">
              <w:rPr>
                <w:sz w:val="18"/>
                <w:szCs w:val="18"/>
                <w:lang w:val="lt-LT"/>
              </w:rPr>
              <w:t xml:space="preserve"> </w:t>
            </w:r>
          </w:p>
          <w:p w14:paraId="199B5B50" w14:textId="77777777" w:rsidR="00292462" w:rsidRPr="002F1077" w:rsidRDefault="00292462" w:rsidP="00314BFE">
            <w:pPr>
              <w:rPr>
                <w:sz w:val="18"/>
                <w:szCs w:val="18"/>
                <w:lang w:val="lt-LT"/>
              </w:rPr>
            </w:pPr>
          </w:p>
        </w:tc>
        <w:tc>
          <w:tcPr>
            <w:tcW w:w="3321" w:type="dxa"/>
            <w:shd w:val="clear" w:color="auto" w:fill="auto"/>
          </w:tcPr>
          <w:p w14:paraId="780AC9F3" w14:textId="77777777" w:rsidR="00292462" w:rsidRPr="002F1077" w:rsidRDefault="00292462" w:rsidP="00314BFE">
            <w:pPr>
              <w:rPr>
                <w:sz w:val="18"/>
                <w:szCs w:val="18"/>
                <w:lang w:val="lt-LT"/>
              </w:rPr>
            </w:pPr>
            <w:r w:rsidRPr="002F1077">
              <w:rPr>
                <w:sz w:val="18"/>
                <w:szCs w:val="18"/>
                <w:lang w:val="lt-LT"/>
              </w:rPr>
              <w:t>1. Dienos socialinė globa</w:t>
            </w:r>
            <w:r w:rsidRPr="002F1077">
              <w:rPr>
                <w:sz w:val="18"/>
                <w:szCs w:val="18"/>
                <w:lang w:val="lt-LT"/>
              </w:rPr>
              <w:br/>
              <w:t xml:space="preserve">2. Trumpalaikė socialinė globa </w:t>
            </w:r>
          </w:p>
          <w:p w14:paraId="50F270D4" w14:textId="77777777" w:rsidR="00292462" w:rsidRPr="002F1077" w:rsidRDefault="00292462" w:rsidP="00314BFE">
            <w:pPr>
              <w:rPr>
                <w:sz w:val="18"/>
                <w:szCs w:val="18"/>
                <w:lang w:val="lt-LT"/>
              </w:rPr>
            </w:pPr>
            <w:r w:rsidRPr="002F1077">
              <w:rPr>
                <w:sz w:val="18"/>
                <w:szCs w:val="18"/>
                <w:lang w:val="lt-LT"/>
              </w:rPr>
              <w:t>3. Ilgalaikė socialinė globa</w:t>
            </w:r>
            <w:r w:rsidRPr="002F1077">
              <w:rPr>
                <w:sz w:val="18"/>
                <w:szCs w:val="18"/>
                <w:lang w:val="lt-LT"/>
              </w:rPr>
              <w:br/>
              <w:t xml:space="preserve">4. Laikinasis </w:t>
            </w:r>
            <w:proofErr w:type="spellStart"/>
            <w:r w:rsidRPr="002F1077">
              <w:rPr>
                <w:sz w:val="18"/>
                <w:szCs w:val="18"/>
                <w:lang w:val="lt-LT"/>
              </w:rPr>
              <w:t>atokvėpis</w:t>
            </w:r>
            <w:proofErr w:type="spellEnd"/>
            <w:r w:rsidRPr="002F1077">
              <w:rPr>
                <w:sz w:val="18"/>
                <w:szCs w:val="18"/>
                <w:lang w:val="lt-LT"/>
              </w:rPr>
              <w:t xml:space="preserve"> </w:t>
            </w:r>
          </w:p>
          <w:p w14:paraId="7FDF5119" w14:textId="77777777" w:rsidR="00292462" w:rsidRPr="002F1077" w:rsidRDefault="00292462" w:rsidP="00314BFE">
            <w:pPr>
              <w:rPr>
                <w:sz w:val="18"/>
                <w:szCs w:val="18"/>
                <w:lang w:val="lt-LT"/>
              </w:rPr>
            </w:pPr>
          </w:p>
        </w:tc>
      </w:tr>
    </w:tbl>
    <w:p w14:paraId="22068E8C" w14:textId="77777777" w:rsidR="00292462" w:rsidRPr="002F1077" w:rsidRDefault="00292462" w:rsidP="00292462">
      <w:pPr>
        <w:jc w:val="both"/>
        <w:rPr>
          <w:color w:val="000000"/>
          <w:sz w:val="20"/>
          <w:szCs w:val="20"/>
        </w:rPr>
      </w:pPr>
      <w:r w:rsidRPr="002F1077">
        <w:rPr>
          <w:color w:val="000000"/>
          <w:sz w:val="20"/>
          <w:szCs w:val="20"/>
        </w:rPr>
        <w:t xml:space="preserve"> </w:t>
      </w:r>
    </w:p>
    <w:p w14:paraId="709743F5" w14:textId="77777777" w:rsidR="00292462" w:rsidRPr="002F1077" w:rsidRDefault="00292462" w:rsidP="00292462">
      <w:pPr>
        <w:jc w:val="both"/>
        <w:rPr>
          <w:color w:val="000000"/>
        </w:rPr>
      </w:pPr>
      <w:r w:rsidRPr="002F1077">
        <w:rPr>
          <w:color w:val="000000"/>
        </w:rPr>
        <w:t>Taigi, palydėjimo paslauga jaunuoliams (paslauga teikiama tėvų netekusiems ar socialinėje rizikoje gyvenantiems jaunuoliams nuo 16 iki 24 m.) gali būti finansuojama tik akredituotų paslaugos teikėjų, o kitos paslaugos – atviro, mobilaus darbo ar darbo su jaunimo gatvėje gali būti finansuojamos ir akreditavimo būdu, ir skelbiant projektinio finansavimo konkursą.</w:t>
      </w:r>
    </w:p>
    <w:p w14:paraId="7617098F" w14:textId="77777777" w:rsidR="00292462" w:rsidRPr="002F1077" w:rsidRDefault="00292462" w:rsidP="00292462">
      <w:pPr>
        <w:jc w:val="both"/>
        <w:rPr>
          <w:color w:val="000000"/>
        </w:rPr>
      </w:pPr>
    </w:p>
    <w:p w14:paraId="6CD6A104" w14:textId="77777777" w:rsidR="00292462" w:rsidRPr="002F1077" w:rsidRDefault="00292462" w:rsidP="00292462">
      <w:pPr>
        <w:jc w:val="both"/>
        <w:rPr>
          <w:b/>
          <w:bCs/>
          <w:color w:val="000000"/>
        </w:rPr>
      </w:pPr>
      <w:r w:rsidRPr="002F1077">
        <w:rPr>
          <w:b/>
          <w:bCs/>
          <w:color w:val="000000"/>
        </w:rPr>
        <w:t>Akreditavimo sistema: privalumai ir iššūkiai</w:t>
      </w:r>
    </w:p>
    <w:p w14:paraId="00EC1037" w14:textId="77777777" w:rsidR="00292462" w:rsidRPr="002F1077" w:rsidRDefault="00292462" w:rsidP="00292462">
      <w:pPr>
        <w:jc w:val="both"/>
        <w:rPr>
          <w:b/>
          <w:bCs/>
          <w:color w:val="000000"/>
        </w:rPr>
      </w:pPr>
    </w:p>
    <w:p w14:paraId="58171312" w14:textId="64DCB8F2" w:rsidR="00B3689F" w:rsidRPr="004D1AF1" w:rsidRDefault="00292462" w:rsidP="004D1AF1">
      <w:pPr>
        <w:spacing w:before="100" w:beforeAutospacing="1" w:after="100" w:afterAutospacing="1"/>
        <w:rPr>
          <w:color w:val="000000"/>
        </w:rPr>
      </w:pPr>
      <w:r w:rsidRPr="002F1077">
        <w:rPr>
          <w:color w:val="000000"/>
        </w:rPr>
        <w:t xml:space="preserve">Akreditavimo sistema Lietuvos viešųjų paslaugų teikime veikia švietimo, socialinių paslaugų ir sporto srityse. Apibendrinus visų šių sričių patirtį, galima sakyti, kad akreditacija iš esmės skiriasi nuo projektinio finansavimo </w:t>
      </w:r>
      <w:r w:rsidR="00EA1A72" w:rsidRPr="002F1077">
        <w:rPr>
          <w:color w:val="000000"/>
        </w:rPr>
        <w:t>tuo</w:t>
      </w:r>
      <w:r w:rsidRPr="002F1077">
        <w:rPr>
          <w:color w:val="000000"/>
        </w:rPr>
        <w:t xml:space="preserve">, kad ji yra efektyvi apibrėžtų paslaugų užtikrinimui. Tai yra, akreditacija yra </w:t>
      </w:r>
      <w:r w:rsidRPr="009121AB">
        <w:rPr>
          <w:i/>
          <w:iCs/>
          <w:color w:val="000000"/>
        </w:rPr>
        <w:t xml:space="preserve">ne pinigai </w:t>
      </w:r>
      <w:r w:rsidR="00193917" w:rsidRPr="009121AB">
        <w:rPr>
          <w:i/>
          <w:iCs/>
          <w:color w:val="000000"/>
        </w:rPr>
        <w:t>organizacijai</w:t>
      </w:r>
      <w:r w:rsidRPr="002F1077">
        <w:rPr>
          <w:color w:val="000000"/>
        </w:rPr>
        <w:t xml:space="preserve">, o organizacijos klientui. Kitaip sakant, dėmesys perkeliamas iš organizacijos </w:t>
      </w:r>
      <w:r w:rsidR="00193917" w:rsidRPr="002F1077">
        <w:rPr>
          <w:color w:val="000000"/>
        </w:rPr>
        <w:t>tiesiogiai</w:t>
      </w:r>
      <w:r w:rsidRPr="002F1077">
        <w:rPr>
          <w:color w:val="000000"/>
        </w:rPr>
        <w:t xml:space="preserve"> į paslaugos gavėją. </w:t>
      </w:r>
      <w:r w:rsidR="00C5123A">
        <w:rPr>
          <w:color w:val="000000"/>
        </w:rPr>
        <w:t xml:space="preserve">Akreditaciją gali suteikti bet kuri valstybinė institucija, siekianti pirkti viešąsias paslaugas. </w:t>
      </w:r>
      <w:r w:rsidRPr="002F1077">
        <w:rPr>
          <w:color w:val="000000"/>
        </w:rPr>
        <w:t>Akreditaciją gali gauti kiekviena pelno nesiekianti organizacija, atitinkanti akreditaciją suteikiančios ministerijos ar savivaldybės reikalavimus. Akreditacija negali būti nesuteikiama, jei prašanti organizacija atitinka visus reikalavimus. Tačiau akredituota organizacija negaus savivaldybės ar valstybės lėšų tol, kol nepradės teikti akredituotų paslaugų bent minima</w:t>
      </w:r>
      <w:r w:rsidR="00193917" w:rsidRPr="002F1077">
        <w:rPr>
          <w:color w:val="000000"/>
        </w:rPr>
        <w:t>l</w:t>
      </w:r>
      <w:r w:rsidRPr="002F1077">
        <w:rPr>
          <w:color w:val="000000"/>
        </w:rPr>
        <w:t>iam tikslinės grupės atstovų skaičiui</w:t>
      </w:r>
      <w:r w:rsidR="009F7900">
        <w:rPr>
          <w:color w:val="000000"/>
        </w:rPr>
        <w:t>, o esant tinkamiems paslaugų gavėjams finansuotojas turi galimybę lanksčiau taikyti apmokėjimo už paslaugas tvarką ir išvengti prisirišimo prie finansinių metų.</w:t>
      </w:r>
      <w:r w:rsidRPr="002F1077">
        <w:rPr>
          <w:color w:val="000000"/>
        </w:rPr>
        <w:t xml:space="preserve"> Tokiu būdu </w:t>
      </w:r>
      <w:r w:rsidRPr="004D1AF1">
        <w:rPr>
          <w:color w:val="000000"/>
        </w:rPr>
        <w:t>akreditacij</w:t>
      </w:r>
      <w:r w:rsidR="009039B9" w:rsidRPr="004D1AF1">
        <w:rPr>
          <w:color w:val="000000"/>
        </w:rPr>
        <w:t>os institutas</w:t>
      </w:r>
      <w:r w:rsidRPr="004D1AF1">
        <w:rPr>
          <w:color w:val="000000"/>
        </w:rPr>
        <w:t xml:space="preserve"> užtikrina ne tik pačią paslaugą, bet ir paslaugų teikėjų konkurenciją, bei sudaro galimybes naujiems veikėjams įsijungti į paslaugų teikimą. </w:t>
      </w:r>
      <w:r w:rsidR="009F7900" w:rsidRPr="004D1AF1">
        <w:rPr>
          <w:color w:val="000000"/>
        </w:rPr>
        <w:t xml:space="preserve">Vis dėl to JRD </w:t>
      </w:r>
      <w:r w:rsidR="00D82AC2" w:rsidRPr="004D1AF1">
        <w:rPr>
          <w:color w:val="000000"/>
        </w:rPr>
        <w:t xml:space="preserve">atveju </w:t>
      </w:r>
      <w:r w:rsidR="009F7900" w:rsidRPr="004D1AF1">
        <w:rPr>
          <w:color w:val="000000"/>
        </w:rPr>
        <w:lastRenderedPageBreak/>
        <w:t>akreditacija (taip kaip su socialinėmis paslaugomis) yra įmanoma tik jei akreditavimas bus įrašytas i Jaunimo politikos pagrindų įstatymą, be šio įrašymo į įstatymą princip</w:t>
      </w:r>
      <w:r w:rsidR="00D82AC2" w:rsidRPr="004D1AF1">
        <w:rPr>
          <w:color w:val="000000"/>
        </w:rPr>
        <w:t>as</w:t>
      </w:r>
      <w:r w:rsidR="009F7900" w:rsidRPr="004D1AF1">
        <w:rPr>
          <w:color w:val="000000"/>
        </w:rPr>
        <w:t xml:space="preserve"> "sutarčių pasirašymas po akreditacijos suteikimo" ne</w:t>
      </w:r>
      <w:r w:rsidR="00D82AC2" w:rsidRPr="004D1AF1">
        <w:rPr>
          <w:color w:val="000000"/>
        </w:rPr>
        <w:t>į</w:t>
      </w:r>
      <w:r w:rsidR="009F7900" w:rsidRPr="004D1AF1">
        <w:rPr>
          <w:color w:val="000000"/>
        </w:rPr>
        <w:t>manoma</w:t>
      </w:r>
      <w:r w:rsidR="00D82AC2" w:rsidRPr="004D1AF1">
        <w:rPr>
          <w:color w:val="000000"/>
        </w:rPr>
        <w:t>s</w:t>
      </w:r>
      <w:r w:rsidR="009F7900" w:rsidRPr="004D1AF1">
        <w:rPr>
          <w:color w:val="000000"/>
        </w:rPr>
        <w:t>. </w:t>
      </w:r>
    </w:p>
    <w:p w14:paraId="7F9FAC0D" w14:textId="43741A05" w:rsidR="00292462" w:rsidRPr="002F1077" w:rsidRDefault="00292462" w:rsidP="00292462">
      <w:pPr>
        <w:jc w:val="both"/>
        <w:rPr>
          <w:color w:val="000000"/>
        </w:rPr>
      </w:pPr>
      <w:r w:rsidRPr="002F1077">
        <w:rPr>
          <w:color w:val="000000"/>
        </w:rPr>
        <w:t xml:space="preserve">Tuo tarpu, projektinis finansavimas yra naudingesnis ieškant įvairių būdų </w:t>
      </w:r>
      <w:r w:rsidR="00193917" w:rsidRPr="002F1077">
        <w:rPr>
          <w:color w:val="000000"/>
        </w:rPr>
        <w:t>žinomoms</w:t>
      </w:r>
      <w:r w:rsidRPr="002F1077">
        <w:rPr>
          <w:color w:val="000000"/>
        </w:rPr>
        <w:t xml:space="preserve"> problemom</w:t>
      </w:r>
      <w:r w:rsidR="00193917" w:rsidRPr="002F1077">
        <w:rPr>
          <w:color w:val="000000"/>
        </w:rPr>
        <w:t>s</w:t>
      </w:r>
      <w:r w:rsidRPr="002F1077">
        <w:rPr>
          <w:color w:val="000000"/>
        </w:rPr>
        <w:t xml:space="preserve"> spręsti. Jis geriau tinka eksperimentams, ar poreikių analizei. Tačiau aiškiai žinant, kad konkreti tikslinė grupė turi gauti konkrečią paslaugą, akreditacija yra tinkamesnis būdas.</w:t>
      </w:r>
    </w:p>
    <w:p w14:paraId="175B9A20" w14:textId="77777777" w:rsidR="00C0777E" w:rsidRDefault="00C0777E" w:rsidP="00292462">
      <w:pPr>
        <w:jc w:val="both"/>
        <w:rPr>
          <w:color w:val="000000"/>
        </w:rPr>
      </w:pPr>
    </w:p>
    <w:p w14:paraId="2B9870E0" w14:textId="140A64F2" w:rsidR="00292462" w:rsidRDefault="00292462" w:rsidP="00292462">
      <w:pPr>
        <w:jc w:val="both"/>
        <w:rPr>
          <w:color w:val="000000"/>
        </w:rPr>
      </w:pPr>
      <w:r w:rsidRPr="002F1077">
        <w:rPr>
          <w:color w:val="000000"/>
        </w:rPr>
        <w:t xml:space="preserve">Žinoma, geriausias variantas – derinti abi finansavimo formas. Projektinis finansavimas gali būti tinkamai naudojamas pačių akredituotų nevyriausybinių organizacijų stiprinimui. Be to, akreditacija/paslaugų krepšelis turėtų būti naudojamas </w:t>
      </w:r>
      <w:r w:rsidR="00947F9D" w:rsidRPr="002F1077">
        <w:rPr>
          <w:color w:val="000000"/>
        </w:rPr>
        <w:t>paslaugų</w:t>
      </w:r>
      <w:r w:rsidRPr="002F1077">
        <w:rPr>
          <w:color w:val="000000"/>
        </w:rPr>
        <w:t xml:space="preserve"> užtikrinimui, o projektinis finansavimas gali būti naudojamas naujų sprendimo būdų paieškai, </w:t>
      </w:r>
      <w:r w:rsidR="00947F9D" w:rsidRPr="002F1077">
        <w:rPr>
          <w:color w:val="000000"/>
        </w:rPr>
        <w:t>trumpalaikėms</w:t>
      </w:r>
      <w:r w:rsidRPr="002F1077">
        <w:rPr>
          <w:color w:val="000000"/>
        </w:rPr>
        <w:t xml:space="preserve"> </w:t>
      </w:r>
      <w:r w:rsidR="00947F9D" w:rsidRPr="002F1077">
        <w:rPr>
          <w:color w:val="000000"/>
        </w:rPr>
        <w:t>naudingoms</w:t>
      </w:r>
      <w:r w:rsidRPr="002F1077">
        <w:rPr>
          <w:color w:val="000000"/>
        </w:rPr>
        <w:t xml:space="preserve"> veiklom</w:t>
      </w:r>
      <w:r w:rsidR="00947F9D" w:rsidRPr="002F1077">
        <w:rPr>
          <w:color w:val="000000"/>
        </w:rPr>
        <w:t>s</w:t>
      </w:r>
      <w:r w:rsidRPr="002F1077">
        <w:rPr>
          <w:color w:val="000000"/>
        </w:rPr>
        <w:t xml:space="preserve">, vienkartiniams renginiams ar net </w:t>
      </w:r>
      <w:r w:rsidR="00EE0B84">
        <w:rPr>
          <w:color w:val="000000"/>
        </w:rPr>
        <w:t xml:space="preserve">specialioms </w:t>
      </w:r>
      <w:r w:rsidRPr="002F1077">
        <w:rPr>
          <w:color w:val="000000"/>
        </w:rPr>
        <w:t>paslaugoms</w:t>
      </w:r>
      <w:r w:rsidR="00EE0B84">
        <w:rPr>
          <w:color w:val="000000"/>
        </w:rPr>
        <w:t xml:space="preserve"> teikti</w:t>
      </w:r>
      <w:r w:rsidRPr="002F1077">
        <w:rPr>
          <w:color w:val="000000"/>
        </w:rPr>
        <w:t xml:space="preserve">. Žinoma, projektinio finansavimo sutartis gali būti pasirašoma keleriems metams, tačiau Lietuvoje tai nedažna praktika. Svarbu </w:t>
      </w:r>
      <w:r w:rsidR="00947F9D" w:rsidRPr="002F1077">
        <w:rPr>
          <w:color w:val="000000"/>
        </w:rPr>
        <w:t>atkreipti</w:t>
      </w:r>
      <w:r w:rsidRPr="002F1077">
        <w:rPr>
          <w:color w:val="000000"/>
        </w:rPr>
        <w:t xml:space="preserve"> dėmesį, kad po trijų metų tikimybė pratęsti veiklą su ta pačia organizacija</w:t>
      </w:r>
      <w:r w:rsidR="00656D9E">
        <w:rPr>
          <w:color w:val="000000"/>
        </w:rPr>
        <w:t xml:space="preserve"> </w:t>
      </w:r>
      <w:r w:rsidRPr="002F1077">
        <w:rPr>
          <w:color w:val="000000"/>
        </w:rPr>
        <w:t>yra nedidelė</w:t>
      </w:r>
      <w:r w:rsidR="00656D9E">
        <w:rPr>
          <w:color w:val="000000"/>
        </w:rPr>
        <w:t>,</w:t>
      </w:r>
      <w:r w:rsidR="00947F9D" w:rsidRPr="002F1077">
        <w:rPr>
          <w:color w:val="000000"/>
        </w:rPr>
        <w:t xml:space="preserve"> jei </w:t>
      </w:r>
      <w:r w:rsidR="00E20267" w:rsidRPr="002F1077">
        <w:rPr>
          <w:color w:val="000000"/>
        </w:rPr>
        <w:t>konkurse dalyvauja didelis kiekis nevyriausybinių organizacijų</w:t>
      </w:r>
      <w:r w:rsidRPr="002F1077">
        <w:rPr>
          <w:color w:val="000000"/>
        </w:rPr>
        <w:t>. Akreditavimo atveju, tris metu</w:t>
      </w:r>
      <w:r w:rsidR="00947F9D" w:rsidRPr="002F1077">
        <w:rPr>
          <w:color w:val="000000"/>
        </w:rPr>
        <w:t>s</w:t>
      </w:r>
      <w:r w:rsidRPr="002F1077">
        <w:rPr>
          <w:color w:val="000000"/>
        </w:rPr>
        <w:t xml:space="preserve"> veikusi akredituota organizacija gali nebūt</w:t>
      </w:r>
      <w:r w:rsidR="00E20267" w:rsidRPr="002F1077">
        <w:rPr>
          <w:color w:val="000000"/>
        </w:rPr>
        <w:t>i</w:t>
      </w:r>
      <w:r w:rsidRPr="002F1077">
        <w:rPr>
          <w:color w:val="000000"/>
        </w:rPr>
        <w:t xml:space="preserve"> akredituota </w:t>
      </w:r>
      <w:r w:rsidR="009B393B">
        <w:rPr>
          <w:color w:val="000000"/>
        </w:rPr>
        <w:t>kitam</w:t>
      </w:r>
      <w:r w:rsidRPr="002F1077">
        <w:rPr>
          <w:color w:val="000000"/>
        </w:rPr>
        <w:t xml:space="preserve"> periodui praktiškai tik dėl pačios organizacijos apsisprendimo</w:t>
      </w:r>
      <w:r w:rsidR="009B393B">
        <w:rPr>
          <w:color w:val="000000"/>
        </w:rPr>
        <w:t xml:space="preserve">, </w:t>
      </w:r>
      <w:proofErr w:type="spellStart"/>
      <w:r w:rsidR="009B393B">
        <w:rPr>
          <w:color w:val="000000"/>
        </w:rPr>
        <w:t>t.y</w:t>
      </w:r>
      <w:proofErr w:type="spellEnd"/>
      <w:r w:rsidR="009B393B">
        <w:rPr>
          <w:color w:val="000000"/>
        </w:rPr>
        <w:t>. pačiai atsisakant toliau teikti paslaugas</w:t>
      </w:r>
      <w:r w:rsidRPr="002F1077">
        <w:rPr>
          <w:color w:val="000000"/>
        </w:rPr>
        <w:t>.</w:t>
      </w:r>
      <w:r w:rsidR="009F69A5">
        <w:rPr>
          <w:color w:val="000000"/>
        </w:rPr>
        <w:t xml:space="preserve"> Kitą vertus, organizacijos akreditacija nereiškia, kad organizacija būtinai gaus finansavimą. Jei organizacija neteiks paslaugų tikslinės grupės asmenims, tai neturės iš „krepšelio“ pinigų. </w:t>
      </w:r>
      <w:r w:rsidR="008E682C">
        <w:rPr>
          <w:color w:val="000000"/>
        </w:rPr>
        <w:t xml:space="preserve">Tačiau </w:t>
      </w:r>
      <w:r w:rsidR="00760366">
        <w:rPr>
          <w:color w:val="000000"/>
        </w:rPr>
        <w:t xml:space="preserve">jei asmenų, kuriems skiriamas „krepšelis“ daugėja organizacijų paslaugų teikimo sąrašuose, tuomet įstaigai, suteikusiai akreditaciją ir finansuojančiai akredituotas paslaugas </w:t>
      </w:r>
      <w:r w:rsidR="007C2F02">
        <w:rPr>
          <w:color w:val="000000"/>
        </w:rPr>
        <w:t>gali nebeužtekti šioms paslaugoms turimo biudžeto.</w:t>
      </w:r>
      <w:r w:rsidR="00760366">
        <w:rPr>
          <w:color w:val="000000"/>
        </w:rPr>
        <w:t xml:space="preserve"> </w:t>
      </w:r>
    </w:p>
    <w:p w14:paraId="3409FC3F" w14:textId="77777777" w:rsidR="002073F5" w:rsidRDefault="002073F5" w:rsidP="00292462">
      <w:pPr>
        <w:jc w:val="both"/>
        <w:rPr>
          <w:color w:val="000000"/>
        </w:rPr>
      </w:pPr>
    </w:p>
    <w:p w14:paraId="29A9BF5D" w14:textId="3D81B503" w:rsidR="009C0998" w:rsidRPr="002F1077" w:rsidRDefault="009C0998" w:rsidP="00292462">
      <w:pPr>
        <w:jc w:val="both"/>
        <w:rPr>
          <w:color w:val="000000"/>
        </w:rPr>
      </w:pPr>
      <w:r>
        <w:rPr>
          <w:color w:val="000000"/>
        </w:rPr>
        <w:t>Svarbu paminėti, kad akredituojanti įstaiga (ministerija ar savivaldybė) pagal savo vidinį akreditacijos tvarkos aprašą gali numatyti galimybę papildomai finansuoti akredituot</w:t>
      </w:r>
      <w:r w:rsidR="002073F5">
        <w:rPr>
          <w:color w:val="000000"/>
        </w:rPr>
        <w:t>ą organizaciją ne „krepšelio“ principu, o siekiant suteikti papildomą pagalbą sprendžiant tos organizacijos paslaugų kokybės tobulinimo klausimus.</w:t>
      </w:r>
    </w:p>
    <w:p w14:paraId="668AB3A0" w14:textId="77777777" w:rsidR="00C0777E" w:rsidRDefault="00C0777E" w:rsidP="00292462">
      <w:pPr>
        <w:jc w:val="both"/>
        <w:rPr>
          <w:color w:val="000000"/>
        </w:rPr>
      </w:pPr>
    </w:p>
    <w:p w14:paraId="51331CBF" w14:textId="2F1C8958" w:rsidR="00C306CD" w:rsidRDefault="003A4BAD" w:rsidP="00292462">
      <w:pPr>
        <w:jc w:val="both"/>
        <w:rPr>
          <w:color w:val="000000"/>
        </w:rPr>
      </w:pPr>
      <w:r w:rsidRPr="002F1077">
        <w:rPr>
          <w:color w:val="000000"/>
        </w:rPr>
        <w:t xml:space="preserve">Konkursinio finansavimo organizavimas Lietuvoje veikia </w:t>
      </w:r>
      <w:r w:rsidR="00FF051A" w:rsidRPr="002F1077">
        <w:rPr>
          <w:color w:val="000000"/>
        </w:rPr>
        <w:t xml:space="preserve">jau </w:t>
      </w:r>
      <w:r w:rsidRPr="002F1077">
        <w:rPr>
          <w:color w:val="000000"/>
        </w:rPr>
        <w:t>30 metų</w:t>
      </w:r>
      <w:r w:rsidR="00922DAD" w:rsidRPr="002F1077">
        <w:rPr>
          <w:color w:val="000000"/>
        </w:rPr>
        <w:t xml:space="preserve">. </w:t>
      </w:r>
      <w:r w:rsidR="008105F1">
        <w:rPr>
          <w:color w:val="000000"/>
        </w:rPr>
        <w:t>Analizuojant projektinio finansavimo institutą galima</w:t>
      </w:r>
      <w:r w:rsidR="002D583F" w:rsidRPr="002F1077">
        <w:rPr>
          <w:color w:val="000000"/>
        </w:rPr>
        <w:t xml:space="preserve"> įvardinti </w:t>
      </w:r>
      <w:r w:rsidR="00922DAD" w:rsidRPr="002F1077">
        <w:rPr>
          <w:color w:val="000000"/>
        </w:rPr>
        <w:t xml:space="preserve">neigiamų </w:t>
      </w:r>
      <w:r w:rsidR="008105F1">
        <w:rPr>
          <w:color w:val="000000"/>
        </w:rPr>
        <w:t>jo aspektų</w:t>
      </w:r>
      <w:r w:rsidR="00922DAD" w:rsidRPr="002F1077">
        <w:rPr>
          <w:color w:val="000000"/>
        </w:rPr>
        <w:t xml:space="preserve"> </w:t>
      </w:r>
      <w:r w:rsidR="006561D4" w:rsidRPr="002F1077">
        <w:rPr>
          <w:color w:val="000000"/>
        </w:rPr>
        <w:t>–</w:t>
      </w:r>
      <w:r w:rsidR="00922DAD" w:rsidRPr="002F1077">
        <w:rPr>
          <w:color w:val="000000"/>
        </w:rPr>
        <w:t xml:space="preserve"> kai</w:t>
      </w:r>
      <w:r w:rsidR="006561D4" w:rsidRPr="002F1077">
        <w:rPr>
          <w:color w:val="000000"/>
        </w:rPr>
        <w:t xml:space="preserve"> </w:t>
      </w:r>
      <w:r w:rsidR="00922DAD" w:rsidRPr="002F1077">
        <w:rPr>
          <w:color w:val="000000"/>
        </w:rPr>
        <w:t xml:space="preserve">kurios savivaldybės iki šiol klaidingai suvokia šio </w:t>
      </w:r>
      <w:r w:rsidR="008105F1">
        <w:rPr>
          <w:color w:val="000000"/>
        </w:rPr>
        <w:t>instituto</w:t>
      </w:r>
      <w:r w:rsidR="00922DAD" w:rsidRPr="002F1077">
        <w:rPr>
          <w:color w:val="000000"/>
        </w:rPr>
        <w:t xml:space="preserve"> prasmę</w:t>
      </w:r>
      <w:r w:rsidR="00926E37" w:rsidRPr="002F1077">
        <w:rPr>
          <w:color w:val="000000"/>
        </w:rPr>
        <w:t xml:space="preserve"> ir </w:t>
      </w:r>
      <w:r w:rsidR="00BF11CF">
        <w:rPr>
          <w:color w:val="000000"/>
        </w:rPr>
        <w:t xml:space="preserve">netinkamai jį taiko </w:t>
      </w:r>
      <w:r w:rsidR="00926E37" w:rsidRPr="002F1077">
        <w:rPr>
          <w:color w:val="000000"/>
        </w:rPr>
        <w:t>(</w:t>
      </w:r>
      <w:r w:rsidR="00AB06E3">
        <w:rPr>
          <w:color w:val="000000"/>
        </w:rPr>
        <w:t xml:space="preserve">pvz. „parama“ NVO ar religinėms organizacijoms; </w:t>
      </w:r>
      <w:r w:rsidR="00AB06E3" w:rsidRPr="002F1077">
        <w:rPr>
          <w:color w:val="000000"/>
        </w:rPr>
        <w:t xml:space="preserve">pinigų </w:t>
      </w:r>
      <w:r w:rsidR="00926E37" w:rsidRPr="002F1077">
        <w:rPr>
          <w:color w:val="000000"/>
        </w:rPr>
        <w:t>dalinimas visiems po lygiai ir pan.)</w:t>
      </w:r>
      <w:r w:rsidR="009F1DD2" w:rsidRPr="002F1077">
        <w:rPr>
          <w:color w:val="000000"/>
        </w:rPr>
        <w:t xml:space="preserve">. </w:t>
      </w:r>
      <w:r w:rsidR="00137E8A">
        <w:rPr>
          <w:color w:val="000000"/>
        </w:rPr>
        <w:t>T</w:t>
      </w:r>
      <w:r w:rsidR="009F1DD2" w:rsidRPr="002F1077">
        <w:rPr>
          <w:color w:val="000000"/>
        </w:rPr>
        <w:t xml:space="preserve">iek savivaldybės, tiek NVO naudoja terminą </w:t>
      </w:r>
      <w:r w:rsidR="00CF4DAF" w:rsidRPr="002F1077">
        <w:rPr>
          <w:color w:val="000000"/>
        </w:rPr>
        <w:t>–</w:t>
      </w:r>
      <w:r w:rsidR="009F1DD2" w:rsidRPr="002F1077">
        <w:rPr>
          <w:color w:val="000000"/>
        </w:rPr>
        <w:t xml:space="preserve"> </w:t>
      </w:r>
      <w:r w:rsidR="00CF4DAF" w:rsidRPr="002F1077">
        <w:rPr>
          <w:color w:val="000000"/>
        </w:rPr>
        <w:t>parama nevyriausybinėms organizacijoms</w:t>
      </w:r>
      <w:r w:rsidR="00BD4BCD">
        <w:rPr>
          <w:color w:val="000000"/>
        </w:rPr>
        <w:t xml:space="preserve">, tad </w:t>
      </w:r>
      <w:r w:rsidR="00522F36">
        <w:rPr>
          <w:color w:val="000000"/>
        </w:rPr>
        <w:t>ydingas t</w:t>
      </w:r>
      <w:r w:rsidR="00CF4DAF" w:rsidRPr="002F1077">
        <w:rPr>
          <w:color w:val="000000"/>
        </w:rPr>
        <w:t xml:space="preserve">erminas </w:t>
      </w:r>
      <w:r w:rsidR="00BD4BCD">
        <w:rPr>
          <w:color w:val="000000"/>
        </w:rPr>
        <w:t>„parama“</w:t>
      </w:r>
      <w:r w:rsidR="00522F36">
        <w:rPr>
          <w:color w:val="000000"/>
        </w:rPr>
        <w:t xml:space="preserve"> vis dar naudojamas</w:t>
      </w:r>
      <w:r w:rsidR="009E3FB7" w:rsidRPr="002F1077">
        <w:rPr>
          <w:color w:val="000000"/>
        </w:rPr>
        <w:t xml:space="preserve">, </w:t>
      </w:r>
      <w:r w:rsidR="00522F36">
        <w:rPr>
          <w:color w:val="000000"/>
        </w:rPr>
        <w:t>kuomet</w:t>
      </w:r>
      <w:r w:rsidR="009E3FB7" w:rsidRPr="002F1077">
        <w:rPr>
          <w:color w:val="000000"/>
        </w:rPr>
        <w:t xml:space="preserve"> savivaldybės </w:t>
      </w:r>
      <w:r w:rsidR="00522F36">
        <w:rPr>
          <w:color w:val="000000"/>
        </w:rPr>
        <w:t>skiria</w:t>
      </w:r>
      <w:r w:rsidR="009E3FB7" w:rsidRPr="002F1077">
        <w:rPr>
          <w:color w:val="000000"/>
        </w:rPr>
        <w:t xml:space="preserve"> nevyriausybinėms </w:t>
      </w:r>
      <w:r w:rsidR="00522F36">
        <w:rPr>
          <w:color w:val="000000"/>
        </w:rPr>
        <w:t>organizacijoms l</w:t>
      </w:r>
      <w:r w:rsidR="009E3FB7" w:rsidRPr="002F1077">
        <w:rPr>
          <w:color w:val="000000"/>
        </w:rPr>
        <w:t>ėš</w:t>
      </w:r>
      <w:r w:rsidR="00522F36">
        <w:rPr>
          <w:color w:val="000000"/>
        </w:rPr>
        <w:t>as</w:t>
      </w:r>
      <w:r w:rsidR="009E3FB7" w:rsidRPr="002F1077">
        <w:rPr>
          <w:color w:val="000000"/>
        </w:rPr>
        <w:t xml:space="preserve"> ne dėl to, kad </w:t>
      </w:r>
      <w:r w:rsidR="00D82626" w:rsidRPr="002F1077">
        <w:rPr>
          <w:color w:val="000000"/>
        </w:rPr>
        <w:t>šios</w:t>
      </w:r>
      <w:r w:rsidR="009E3FB7" w:rsidRPr="002F1077">
        <w:rPr>
          <w:color w:val="000000"/>
        </w:rPr>
        <w:t xml:space="preserve"> </w:t>
      </w:r>
      <w:r w:rsidR="00A43E79" w:rsidRPr="002F1077">
        <w:rPr>
          <w:color w:val="000000"/>
        </w:rPr>
        <w:t>prisidė</w:t>
      </w:r>
      <w:r w:rsidR="00522F36">
        <w:rPr>
          <w:color w:val="000000"/>
        </w:rPr>
        <w:t>tų</w:t>
      </w:r>
      <w:r w:rsidR="00A43E79" w:rsidRPr="002F1077">
        <w:rPr>
          <w:color w:val="000000"/>
        </w:rPr>
        <w:t xml:space="preserve"> prie savivaldybės strategijos įgyvendinimo, o </w:t>
      </w:r>
      <w:r w:rsidR="006F1EF1">
        <w:rPr>
          <w:color w:val="000000"/>
        </w:rPr>
        <w:t xml:space="preserve">tik </w:t>
      </w:r>
      <w:r w:rsidR="00A43E79" w:rsidRPr="002F1077">
        <w:rPr>
          <w:color w:val="000000"/>
        </w:rPr>
        <w:t xml:space="preserve">dėl to, kad tos NVO </w:t>
      </w:r>
      <w:r w:rsidR="00A43E79" w:rsidRPr="006F1EF1">
        <w:rPr>
          <w:i/>
          <w:iCs/>
          <w:color w:val="000000"/>
        </w:rPr>
        <w:t>tiesiog yra</w:t>
      </w:r>
      <w:r w:rsidR="00A43E79" w:rsidRPr="002F1077">
        <w:rPr>
          <w:color w:val="000000"/>
        </w:rPr>
        <w:t xml:space="preserve"> ir </w:t>
      </w:r>
      <w:r w:rsidR="004073B0" w:rsidRPr="002F1077">
        <w:rPr>
          <w:color w:val="000000"/>
        </w:rPr>
        <w:t xml:space="preserve">kad </w:t>
      </w:r>
      <w:r w:rsidR="00A43E79" w:rsidRPr="002F1077">
        <w:rPr>
          <w:color w:val="000000"/>
        </w:rPr>
        <w:t>prašo pinigų</w:t>
      </w:r>
      <w:r w:rsidR="006F1EF1">
        <w:rPr>
          <w:color w:val="000000"/>
        </w:rPr>
        <w:t xml:space="preserve"> savo veiklai</w:t>
      </w:r>
      <w:r w:rsidR="00A43E79" w:rsidRPr="002F1077">
        <w:rPr>
          <w:color w:val="000000"/>
        </w:rPr>
        <w:t xml:space="preserve">. </w:t>
      </w:r>
      <w:r w:rsidR="002266BA">
        <w:rPr>
          <w:color w:val="000000"/>
        </w:rPr>
        <w:t>Tokiu būdu susiformavo keistas</w:t>
      </w:r>
      <w:r w:rsidR="00A43E79" w:rsidRPr="002F1077">
        <w:rPr>
          <w:color w:val="000000"/>
        </w:rPr>
        <w:t xml:space="preserve"> </w:t>
      </w:r>
      <w:r w:rsidR="002266BA">
        <w:rPr>
          <w:color w:val="000000"/>
        </w:rPr>
        <w:t>„</w:t>
      </w:r>
      <w:r w:rsidR="00A43E79" w:rsidRPr="002F1077">
        <w:rPr>
          <w:color w:val="000000"/>
        </w:rPr>
        <w:t>paramos</w:t>
      </w:r>
      <w:r w:rsidR="002266BA">
        <w:rPr>
          <w:color w:val="000000"/>
        </w:rPr>
        <w:t>“</w:t>
      </w:r>
      <w:r w:rsidR="00A43E79" w:rsidRPr="002F1077">
        <w:rPr>
          <w:color w:val="000000"/>
        </w:rPr>
        <w:t xml:space="preserve"> fenomen</w:t>
      </w:r>
      <w:r w:rsidR="002266BA">
        <w:rPr>
          <w:color w:val="000000"/>
        </w:rPr>
        <w:t>as</w:t>
      </w:r>
      <w:r w:rsidR="008B31D8">
        <w:rPr>
          <w:color w:val="000000"/>
        </w:rPr>
        <w:t>, kuomet valstybės ir savivaldybių institucijoms pagal Labdaros ir paramos įstatymą</w:t>
      </w:r>
      <w:r w:rsidR="00102A69" w:rsidRPr="002F1077">
        <w:rPr>
          <w:color w:val="000000"/>
        </w:rPr>
        <w:t xml:space="preserve"> draudžiama</w:t>
      </w:r>
      <w:r w:rsidR="00B156B1" w:rsidRPr="002F1077">
        <w:rPr>
          <w:color w:val="000000"/>
        </w:rPr>
        <w:t xml:space="preserve"> </w:t>
      </w:r>
      <w:r w:rsidR="008B31D8">
        <w:rPr>
          <w:color w:val="000000"/>
        </w:rPr>
        <w:t>teikti</w:t>
      </w:r>
      <w:r w:rsidR="00B156B1" w:rsidRPr="002F1077">
        <w:rPr>
          <w:color w:val="000000"/>
        </w:rPr>
        <w:t xml:space="preserve"> paramą</w:t>
      </w:r>
      <w:r w:rsidR="007E604C">
        <w:rPr>
          <w:color w:val="000000"/>
        </w:rPr>
        <w:t>, šis terminas naudojamas teisiniuose projektinio finansavimo tvarkos aprašų dokumentuose</w:t>
      </w:r>
      <w:r w:rsidR="00A43E79" w:rsidRPr="002F1077">
        <w:rPr>
          <w:color w:val="000000"/>
        </w:rPr>
        <w:t>.</w:t>
      </w:r>
      <w:r w:rsidR="009F2CF6" w:rsidRPr="002F1077">
        <w:rPr>
          <w:color w:val="000000"/>
        </w:rPr>
        <w:t xml:space="preserve"> </w:t>
      </w:r>
    </w:p>
    <w:p w14:paraId="73768BD4" w14:textId="77777777" w:rsidR="00FF051A" w:rsidRPr="002F1077" w:rsidRDefault="00FF051A" w:rsidP="00292462">
      <w:pPr>
        <w:jc w:val="both"/>
        <w:rPr>
          <w:color w:val="000000"/>
        </w:rPr>
      </w:pPr>
    </w:p>
    <w:p w14:paraId="4B32484C" w14:textId="3EE41813" w:rsidR="009F2CF6" w:rsidRPr="00E004AF" w:rsidRDefault="009F2CF6" w:rsidP="00292462">
      <w:pPr>
        <w:jc w:val="both"/>
        <w:rPr>
          <w:color w:val="000000"/>
        </w:rPr>
      </w:pPr>
      <w:r w:rsidRPr="00E004AF">
        <w:rPr>
          <w:color w:val="000000"/>
        </w:rPr>
        <w:t xml:space="preserve">Viena didžiausių problemų kurią įvardina tiek savivaldybės, tiek nevyriausybinės organizacijos </w:t>
      </w:r>
      <w:r w:rsidR="00FF02EC" w:rsidRPr="00E004AF">
        <w:rPr>
          <w:color w:val="000000"/>
        </w:rPr>
        <w:t>yra kvalifikuoti darbuotojai</w:t>
      </w:r>
      <w:r w:rsidR="00C73419" w:rsidRPr="00E004AF">
        <w:rPr>
          <w:color w:val="000000"/>
        </w:rPr>
        <w:t xml:space="preserve"> –</w:t>
      </w:r>
      <w:r w:rsidR="00FF02EC" w:rsidRPr="00E004AF">
        <w:rPr>
          <w:color w:val="000000"/>
        </w:rPr>
        <w:t xml:space="preserve"> jų</w:t>
      </w:r>
      <w:r w:rsidR="00C73419" w:rsidRPr="00E004AF">
        <w:rPr>
          <w:color w:val="000000"/>
        </w:rPr>
        <w:t xml:space="preserve"> </w:t>
      </w:r>
      <w:r w:rsidR="00FF02EC" w:rsidRPr="00E004AF">
        <w:rPr>
          <w:color w:val="000000"/>
        </w:rPr>
        <w:t xml:space="preserve">trūkumas arba nebuvimas. </w:t>
      </w:r>
      <w:r w:rsidR="00604BCC" w:rsidRPr="00E004AF">
        <w:rPr>
          <w:color w:val="000000"/>
        </w:rPr>
        <w:t xml:space="preserve">Kvalifikuoti darbuotojai </w:t>
      </w:r>
      <w:r w:rsidR="00D72BB2" w:rsidRPr="00E004AF">
        <w:rPr>
          <w:color w:val="000000"/>
        </w:rPr>
        <w:t xml:space="preserve">dabartinėje situacijoje arba </w:t>
      </w:r>
      <w:r w:rsidR="004F230E" w:rsidRPr="00E004AF">
        <w:rPr>
          <w:color w:val="000000"/>
        </w:rPr>
        <w:t xml:space="preserve">dažniausiai arba jau dirba savivaldybėje ar jos įstaigose, arba išvyksta </w:t>
      </w:r>
      <w:r w:rsidR="00614E38" w:rsidRPr="00E004AF">
        <w:rPr>
          <w:color w:val="000000"/>
        </w:rPr>
        <w:t xml:space="preserve">į didesnių galimybių </w:t>
      </w:r>
      <w:r w:rsidR="006C0654" w:rsidRPr="00E004AF">
        <w:rPr>
          <w:color w:val="000000"/>
        </w:rPr>
        <w:t xml:space="preserve">regionus, tiek Lietuvoje, tiek užsienyje. </w:t>
      </w:r>
      <w:r w:rsidR="00AC4CEB" w:rsidRPr="00E004AF">
        <w:rPr>
          <w:color w:val="000000"/>
        </w:rPr>
        <w:t>T</w:t>
      </w:r>
      <w:r w:rsidR="006C0654" w:rsidRPr="00E004AF">
        <w:rPr>
          <w:color w:val="000000"/>
        </w:rPr>
        <w:t xml:space="preserve">rijų metų </w:t>
      </w:r>
      <w:r w:rsidR="002E00B1" w:rsidRPr="00E004AF">
        <w:rPr>
          <w:color w:val="000000"/>
        </w:rPr>
        <w:t xml:space="preserve">projekto sutartis </w:t>
      </w:r>
      <w:r w:rsidR="00AC4CEB" w:rsidRPr="00E004AF">
        <w:rPr>
          <w:color w:val="000000"/>
        </w:rPr>
        <w:t>nesuteikia</w:t>
      </w:r>
      <w:r w:rsidR="002E00B1" w:rsidRPr="00E004AF">
        <w:rPr>
          <w:color w:val="000000"/>
        </w:rPr>
        <w:t xml:space="preserve"> garantijų kad bus darbo po </w:t>
      </w:r>
      <w:r w:rsidR="00AC4CEB" w:rsidRPr="00E004AF">
        <w:rPr>
          <w:color w:val="000000"/>
        </w:rPr>
        <w:t>minėto term</w:t>
      </w:r>
      <w:r w:rsidR="00D74C88" w:rsidRPr="00E004AF">
        <w:rPr>
          <w:color w:val="000000"/>
        </w:rPr>
        <w:t>i</w:t>
      </w:r>
      <w:r w:rsidR="00AC4CEB" w:rsidRPr="00E004AF">
        <w:rPr>
          <w:color w:val="000000"/>
        </w:rPr>
        <w:t>no</w:t>
      </w:r>
      <w:r w:rsidR="00D74C88" w:rsidRPr="00E004AF">
        <w:rPr>
          <w:color w:val="000000"/>
        </w:rPr>
        <w:t>. Būtent tai</w:t>
      </w:r>
      <w:r w:rsidR="003700E8" w:rsidRPr="00E004AF">
        <w:rPr>
          <w:color w:val="000000"/>
        </w:rPr>
        <w:t xml:space="preserve"> labiausiai</w:t>
      </w:r>
      <w:r w:rsidR="002E00B1" w:rsidRPr="00E004AF">
        <w:rPr>
          <w:color w:val="000000"/>
        </w:rPr>
        <w:t xml:space="preserve"> </w:t>
      </w:r>
      <w:r w:rsidR="003700E8" w:rsidRPr="00E004AF">
        <w:rPr>
          <w:color w:val="000000"/>
        </w:rPr>
        <w:t xml:space="preserve">trukdo </w:t>
      </w:r>
      <w:r w:rsidR="002E00B1" w:rsidRPr="00E004AF">
        <w:rPr>
          <w:color w:val="000000"/>
        </w:rPr>
        <w:t>išlaikyti kvalifikuot</w:t>
      </w:r>
      <w:r w:rsidR="003700E8" w:rsidRPr="00E004AF">
        <w:rPr>
          <w:color w:val="000000"/>
        </w:rPr>
        <w:t>us</w:t>
      </w:r>
      <w:r w:rsidR="002E00B1" w:rsidRPr="00E004AF">
        <w:rPr>
          <w:color w:val="000000"/>
        </w:rPr>
        <w:t xml:space="preserve"> žmon</w:t>
      </w:r>
      <w:r w:rsidR="003700E8" w:rsidRPr="00E004AF">
        <w:rPr>
          <w:color w:val="000000"/>
        </w:rPr>
        <w:t>es</w:t>
      </w:r>
      <w:r w:rsidR="002E00B1" w:rsidRPr="00E004AF">
        <w:rPr>
          <w:color w:val="000000"/>
        </w:rPr>
        <w:t xml:space="preserve"> </w:t>
      </w:r>
      <w:r w:rsidR="00770D05" w:rsidRPr="00E004AF">
        <w:rPr>
          <w:color w:val="000000"/>
        </w:rPr>
        <w:t xml:space="preserve">atokesnėse savivaldybėse. </w:t>
      </w:r>
      <w:r w:rsidR="00CE3EB2" w:rsidRPr="00E004AF">
        <w:rPr>
          <w:color w:val="000000"/>
        </w:rPr>
        <w:t>O kasmetiniai projektiniai</w:t>
      </w:r>
      <w:r w:rsidR="00570929" w:rsidRPr="00E004AF">
        <w:rPr>
          <w:color w:val="000000"/>
        </w:rPr>
        <w:t xml:space="preserve"> </w:t>
      </w:r>
      <w:r w:rsidR="00CE3EB2" w:rsidRPr="00E004AF">
        <w:rPr>
          <w:color w:val="000000"/>
        </w:rPr>
        <w:t xml:space="preserve">konkursai neturi galimybės užtikrinti asmeninių pajamų </w:t>
      </w:r>
      <w:r w:rsidR="00570929" w:rsidRPr="00E004AF">
        <w:rPr>
          <w:color w:val="000000"/>
        </w:rPr>
        <w:t xml:space="preserve">visus 12 mėnesių per metus. </w:t>
      </w:r>
    </w:p>
    <w:p w14:paraId="17ABDF9F" w14:textId="77777777" w:rsidR="003C6C73" w:rsidRPr="00E004AF" w:rsidRDefault="003C6C73" w:rsidP="00292462">
      <w:pPr>
        <w:jc w:val="both"/>
        <w:rPr>
          <w:color w:val="000000"/>
        </w:rPr>
      </w:pPr>
    </w:p>
    <w:p w14:paraId="4F7C59BB" w14:textId="39552FE4" w:rsidR="00D90F1F" w:rsidRPr="002F1077" w:rsidRDefault="00574986" w:rsidP="00292462">
      <w:pPr>
        <w:jc w:val="both"/>
        <w:rPr>
          <w:color w:val="000000"/>
        </w:rPr>
      </w:pPr>
      <w:r w:rsidRPr="00E004AF">
        <w:rPr>
          <w:color w:val="000000"/>
        </w:rPr>
        <w:lastRenderedPageBreak/>
        <w:t xml:space="preserve">Galiausiai, nevyriausybinės organizacijos </w:t>
      </w:r>
      <w:r w:rsidR="00E57BDE" w:rsidRPr="00E004AF">
        <w:rPr>
          <w:color w:val="000000"/>
        </w:rPr>
        <w:t xml:space="preserve">iš vieno projekto negali išgyventi, todėl dažniausiai jos rašo paraiškas į visus įmanomus konkursus tiek savivaldybėje, tiek </w:t>
      </w:r>
      <w:r w:rsidR="003B46AD" w:rsidRPr="00E004AF">
        <w:rPr>
          <w:color w:val="000000"/>
        </w:rPr>
        <w:t>nacionalini</w:t>
      </w:r>
      <w:r w:rsidR="008521B6" w:rsidRPr="00E004AF">
        <w:rPr>
          <w:color w:val="000000"/>
        </w:rPr>
        <w:t>u</w:t>
      </w:r>
      <w:r w:rsidR="003B46AD" w:rsidRPr="00E004AF">
        <w:rPr>
          <w:color w:val="000000"/>
        </w:rPr>
        <w:t xml:space="preserve"> ar ES lygmeniu. Todėl tokių organizacijų niekas negali laikyti profesionaliomis </w:t>
      </w:r>
      <w:r w:rsidR="003A42C3" w:rsidRPr="00E004AF">
        <w:rPr>
          <w:color w:val="000000"/>
        </w:rPr>
        <w:t xml:space="preserve">paslaugų teikėjomis, nes per gausybę projekto, jos įsipareigoję </w:t>
      </w:r>
      <w:r w:rsidR="003C2F01" w:rsidRPr="00E004AF">
        <w:rPr>
          <w:color w:val="000000"/>
        </w:rPr>
        <w:t xml:space="preserve">įgyvendinti </w:t>
      </w:r>
      <w:r w:rsidR="003A42C3" w:rsidRPr="00E004AF">
        <w:rPr>
          <w:color w:val="000000"/>
        </w:rPr>
        <w:t>pači</w:t>
      </w:r>
      <w:r w:rsidR="008458AB" w:rsidRPr="00E004AF">
        <w:rPr>
          <w:color w:val="000000"/>
        </w:rPr>
        <w:t>a</w:t>
      </w:r>
      <w:r w:rsidR="003A42C3" w:rsidRPr="00E004AF">
        <w:rPr>
          <w:color w:val="000000"/>
        </w:rPr>
        <w:t>s įvairiausi</w:t>
      </w:r>
      <w:r w:rsidR="008458AB" w:rsidRPr="00E004AF">
        <w:rPr>
          <w:color w:val="000000"/>
        </w:rPr>
        <w:t>a</w:t>
      </w:r>
      <w:r w:rsidR="003A42C3" w:rsidRPr="00E004AF">
        <w:rPr>
          <w:color w:val="000000"/>
        </w:rPr>
        <w:t xml:space="preserve">s </w:t>
      </w:r>
      <w:r w:rsidR="008458AB" w:rsidRPr="00E004AF">
        <w:rPr>
          <w:color w:val="000000"/>
        </w:rPr>
        <w:t>veiklas</w:t>
      </w:r>
      <w:r w:rsidR="003A42C3" w:rsidRPr="00E004AF">
        <w:rPr>
          <w:color w:val="000000"/>
        </w:rPr>
        <w:t xml:space="preserve"> </w:t>
      </w:r>
      <w:r w:rsidR="00BA6E4A" w:rsidRPr="00E004AF">
        <w:rPr>
          <w:color w:val="000000"/>
        </w:rPr>
        <w:t xml:space="preserve">iš kurių, paslaugos, </w:t>
      </w:r>
      <w:r w:rsidR="008458AB" w:rsidRPr="00E004AF">
        <w:rPr>
          <w:color w:val="000000"/>
        </w:rPr>
        <w:t xml:space="preserve">dažnai </w:t>
      </w:r>
      <w:r w:rsidR="00BA6E4A" w:rsidRPr="00E004AF">
        <w:rPr>
          <w:color w:val="000000"/>
        </w:rPr>
        <w:t xml:space="preserve">yra tik maža dalis. </w:t>
      </w:r>
      <w:r w:rsidR="0099404D" w:rsidRPr="00E004AF">
        <w:rPr>
          <w:color w:val="000000"/>
        </w:rPr>
        <w:t xml:space="preserve">Šį argumentą geriausiai iliustruoja Klaipėdos miesto </w:t>
      </w:r>
      <w:r w:rsidR="0067273D" w:rsidRPr="00E004AF">
        <w:rPr>
          <w:color w:val="000000"/>
        </w:rPr>
        <w:t>sporto sektorius.</w:t>
      </w:r>
      <w:r w:rsidR="0067273D" w:rsidRPr="002F1077">
        <w:rPr>
          <w:color w:val="000000"/>
        </w:rPr>
        <w:t xml:space="preserve"> Įvedus sportininko </w:t>
      </w:r>
      <w:r w:rsidR="004A7FCE" w:rsidRPr="002F1077">
        <w:rPr>
          <w:color w:val="000000"/>
        </w:rPr>
        <w:t xml:space="preserve">krepšelį, išdiferencijavus krepšelio dydį pagal </w:t>
      </w:r>
      <w:r w:rsidR="001C718D" w:rsidRPr="002F1077">
        <w:rPr>
          <w:color w:val="000000"/>
        </w:rPr>
        <w:t>treniruojamų</w:t>
      </w:r>
      <w:r w:rsidR="004A7FCE" w:rsidRPr="002F1077">
        <w:rPr>
          <w:color w:val="000000"/>
        </w:rPr>
        <w:t xml:space="preserve"> </w:t>
      </w:r>
      <w:r w:rsidR="001C718D" w:rsidRPr="002F1077">
        <w:rPr>
          <w:color w:val="000000"/>
        </w:rPr>
        <w:t xml:space="preserve">sportininkų pasiekimus ir </w:t>
      </w:r>
      <w:r w:rsidR="00FE6921" w:rsidRPr="002F1077">
        <w:rPr>
          <w:color w:val="000000"/>
        </w:rPr>
        <w:t xml:space="preserve">visiems </w:t>
      </w:r>
      <w:r w:rsidR="001C718D" w:rsidRPr="002F1077">
        <w:rPr>
          <w:color w:val="000000"/>
        </w:rPr>
        <w:t>vienodom</w:t>
      </w:r>
      <w:r w:rsidR="00FE6921" w:rsidRPr="002F1077">
        <w:rPr>
          <w:color w:val="000000"/>
        </w:rPr>
        <w:t>is</w:t>
      </w:r>
      <w:r w:rsidR="001C718D" w:rsidRPr="002F1077">
        <w:rPr>
          <w:color w:val="000000"/>
        </w:rPr>
        <w:t xml:space="preserve"> s</w:t>
      </w:r>
      <w:r w:rsidR="00FE6921" w:rsidRPr="002F1077">
        <w:rPr>
          <w:color w:val="000000"/>
        </w:rPr>
        <w:t>ą</w:t>
      </w:r>
      <w:r w:rsidR="001C718D" w:rsidRPr="002F1077">
        <w:rPr>
          <w:color w:val="000000"/>
        </w:rPr>
        <w:t>lygo</w:t>
      </w:r>
      <w:r w:rsidR="00FE6921" w:rsidRPr="002F1077">
        <w:rPr>
          <w:color w:val="000000"/>
        </w:rPr>
        <w:t>mis</w:t>
      </w:r>
      <w:r w:rsidR="00426D74" w:rsidRPr="002F1077">
        <w:rPr>
          <w:color w:val="000000"/>
        </w:rPr>
        <w:t xml:space="preserve"> (biudžetinėms ir NVO)</w:t>
      </w:r>
      <w:r w:rsidR="00FE6921" w:rsidRPr="002F1077">
        <w:rPr>
          <w:color w:val="000000"/>
        </w:rPr>
        <w:t xml:space="preserve"> </w:t>
      </w:r>
      <w:r w:rsidR="00426D74" w:rsidRPr="002F1077">
        <w:rPr>
          <w:color w:val="000000"/>
        </w:rPr>
        <w:t>užtikrinant savivaldybės turimą materialin</w:t>
      </w:r>
      <w:r w:rsidR="00956806" w:rsidRPr="002F1077">
        <w:rPr>
          <w:color w:val="000000"/>
        </w:rPr>
        <w:t>ę bazę (aikštės, salė bei inventorius)</w:t>
      </w:r>
      <w:r w:rsidR="000E5481" w:rsidRPr="002F1077">
        <w:rPr>
          <w:color w:val="000000"/>
        </w:rPr>
        <w:t xml:space="preserve"> per paskutinius 7 metus padarytas didžiulis </w:t>
      </w:r>
      <w:r w:rsidR="008C4762" w:rsidRPr="002F1077">
        <w:rPr>
          <w:color w:val="000000"/>
        </w:rPr>
        <w:t>pokytis. Atsirado užtikrin</w:t>
      </w:r>
      <w:r w:rsidR="006F26B4" w:rsidRPr="002F1077">
        <w:rPr>
          <w:color w:val="000000"/>
        </w:rPr>
        <w:t xml:space="preserve">ta konkurencija, smarkiai padidėjo sportuojančių skaičius, garantuojamos vienodos </w:t>
      </w:r>
      <w:r w:rsidR="00315F05" w:rsidRPr="002F1077">
        <w:rPr>
          <w:color w:val="000000"/>
        </w:rPr>
        <w:t>sąlygos</w:t>
      </w:r>
      <w:r w:rsidR="006F26B4" w:rsidRPr="002F1077">
        <w:rPr>
          <w:color w:val="000000"/>
        </w:rPr>
        <w:t xml:space="preserve"> iš savivaldybės, todėl nebėra „mūsų ir </w:t>
      </w:r>
      <w:r w:rsidR="00315F05" w:rsidRPr="002F1077">
        <w:rPr>
          <w:color w:val="000000"/>
        </w:rPr>
        <w:t xml:space="preserve">jūsų“. </w:t>
      </w:r>
    </w:p>
    <w:p w14:paraId="122F087C" w14:textId="2627A2E7" w:rsidR="00292462" w:rsidRDefault="00292462" w:rsidP="00292462">
      <w:pPr>
        <w:jc w:val="both"/>
        <w:rPr>
          <w:color w:val="000000"/>
        </w:rPr>
      </w:pPr>
    </w:p>
    <w:p w14:paraId="6BF170E9" w14:textId="77777777" w:rsidR="000C6CD7" w:rsidRDefault="000C6CD7" w:rsidP="00292462">
      <w:pPr>
        <w:jc w:val="both"/>
        <w:rPr>
          <w:color w:val="000000"/>
        </w:rPr>
      </w:pPr>
    </w:p>
    <w:p w14:paraId="254DCE24" w14:textId="77777777" w:rsidR="000C6CD7" w:rsidRPr="002F1077" w:rsidRDefault="000C6CD7" w:rsidP="00292462">
      <w:pPr>
        <w:jc w:val="both"/>
        <w:rPr>
          <w:color w:val="000000"/>
        </w:rPr>
      </w:pPr>
    </w:p>
    <w:p w14:paraId="59A13A9A" w14:textId="7CD253FE" w:rsidR="00662E80" w:rsidRPr="002F1077" w:rsidRDefault="00662E80" w:rsidP="00292462">
      <w:pPr>
        <w:jc w:val="both"/>
        <w:rPr>
          <w:b/>
          <w:bCs/>
          <w:color w:val="000000"/>
        </w:rPr>
      </w:pPr>
      <w:r w:rsidRPr="002F1077">
        <w:rPr>
          <w:b/>
          <w:bCs/>
          <w:color w:val="000000"/>
        </w:rPr>
        <w:t>Apibendrinimas</w:t>
      </w:r>
    </w:p>
    <w:p w14:paraId="2BED39E0" w14:textId="46D210EE" w:rsidR="00662E80" w:rsidRPr="002F1077" w:rsidRDefault="00662E80" w:rsidP="00292462">
      <w:pPr>
        <w:jc w:val="both"/>
        <w:rPr>
          <w:color w:val="000000"/>
        </w:rPr>
      </w:pPr>
    </w:p>
    <w:p w14:paraId="03E04A0A" w14:textId="4A7A213F" w:rsidR="00662E80" w:rsidRPr="002F1077" w:rsidRDefault="00662E80" w:rsidP="00292462">
      <w:pPr>
        <w:jc w:val="both"/>
        <w:rPr>
          <w:b/>
          <w:bCs/>
          <w:color w:val="000000"/>
        </w:rPr>
      </w:pPr>
      <w:r w:rsidRPr="002F1077">
        <w:rPr>
          <w:b/>
          <w:bCs/>
          <w:color w:val="000000"/>
        </w:rPr>
        <w:t>Projektinis finansavimas</w:t>
      </w:r>
    </w:p>
    <w:p w14:paraId="4A5A4B06" w14:textId="77777777" w:rsidR="001338B2" w:rsidRPr="002F1077" w:rsidRDefault="001338B2" w:rsidP="00292462">
      <w:pPr>
        <w:jc w:val="both"/>
        <w:rPr>
          <w:b/>
          <w:bCs/>
          <w:color w:val="000000"/>
        </w:rPr>
      </w:pPr>
    </w:p>
    <w:p w14:paraId="1D3FBA7F" w14:textId="59CC3CC8" w:rsidR="00662E80" w:rsidRPr="002F1077" w:rsidRDefault="00662E80" w:rsidP="00292462">
      <w:pPr>
        <w:jc w:val="both"/>
        <w:rPr>
          <w:color w:val="000000"/>
        </w:rPr>
      </w:pPr>
      <w:r w:rsidRPr="002F1077">
        <w:rPr>
          <w:color w:val="000000"/>
        </w:rPr>
        <w:t>Privalumai:</w:t>
      </w:r>
    </w:p>
    <w:p w14:paraId="64AE2B03" w14:textId="53CD01FE" w:rsidR="00B920EF" w:rsidRPr="002F1077" w:rsidRDefault="00B920EF" w:rsidP="000478F6">
      <w:pPr>
        <w:pStyle w:val="ListParagraph"/>
        <w:numPr>
          <w:ilvl w:val="0"/>
          <w:numId w:val="5"/>
        </w:numPr>
        <w:jc w:val="both"/>
        <w:rPr>
          <w:color w:val="000000"/>
        </w:rPr>
      </w:pPr>
      <w:r w:rsidRPr="002F1077">
        <w:rPr>
          <w:color w:val="000000"/>
        </w:rPr>
        <w:t xml:space="preserve">Geriausiai tinka </w:t>
      </w:r>
      <w:r w:rsidR="008A62A9" w:rsidRPr="002F1077">
        <w:rPr>
          <w:color w:val="000000"/>
        </w:rPr>
        <w:t xml:space="preserve">įvairiausiems projektams </w:t>
      </w:r>
      <w:r w:rsidRPr="002F1077">
        <w:rPr>
          <w:color w:val="000000"/>
        </w:rPr>
        <w:t>finansuoti;</w:t>
      </w:r>
    </w:p>
    <w:p w14:paraId="0B44A1A5" w14:textId="05C4A9AE" w:rsidR="000478F6" w:rsidRPr="002F1077" w:rsidRDefault="000478F6" w:rsidP="000478F6">
      <w:pPr>
        <w:pStyle w:val="ListParagraph"/>
        <w:numPr>
          <w:ilvl w:val="0"/>
          <w:numId w:val="5"/>
        </w:numPr>
        <w:jc w:val="both"/>
        <w:rPr>
          <w:color w:val="000000"/>
        </w:rPr>
      </w:pPr>
      <w:r w:rsidRPr="002F1077">
        <w:rPr>
          <w:color w:val="000000"/>
        </w:rPr>
        <w:t xml:space="preserve">Beveik nėra </w:t>
      </w:r>
      <w:r w:rsidR="00E011A5" w:rsidRPr="002F1077">
        <w:rPr>
          <w:color w:val="000000"/>
        </w:rPr>
        <w:t xml:space="preserve">veiklos sričių </w:t>
      </w:r>
      <w:r w:rsidRPr="002F1077">
        <w:rPr>
          <w:color w:val="000000"/>
        </w:rPr>
        <w:t>apr</w:t>
      </w:r>
      <w:r w:rsidR="00E011A5" w:rsidRPr="002F1077">
        <w:rPr>
          <w:color w:val="000000"/>
        </w:rPr>
        <w:t>i</w:t>
      </w:r>
      <w:r w:rsidRPr="002F1077">
        <w:rPr>
          <w:color w:val="000000"/>
        </w:rPr>
        <w:t>bojimų</w:t>
      </w:r>
      <w:r w:rsidR="00E011A5" w:rsidRPr="002F1077">
        <w:rPr>
          <w:color w:val="000000"/>
        </w:rPr>
        <w:t>;</w:t>
      </w:r>
    </w:p>
    <w:p w14:paraId="2422D2B6" w14:textId="44B9B52A" w:rsidR="00B74A0A" w:rsidRPr="002F1077" w:rsidRDefault="00B74A0A" w:rsidP="000478F6">
      <w:pPr>
        <w:pStyle w:val="ListParagraph"/>
        <w:numPr>
          <w:ilvl w:val="0"/>
          <w:numId w:val="5"/>
        </w:numPr>
        <w:jc w:val="both"/>
        <w:rPr>
          <w:color w:val="000000"/>
        </w:rPr>
      </w:pPr>
      <w:r w:rsidRPr="002F1077">
        <w:rPr>
          <w:color w:val="000000"/>
        </w:rPr>
        <w:t>Gali būti pasirenkamas</w:t>
      </w:r>
      <w:r w:rsidR="00244907" w:rsidRPr="002F1077">
        <w:rPr>
          <w:color w:val="000000"/>
        </w:rPr>
        <w:t xml:space="preserve"> organizacijų skaičius pagal turimą lėšų kiekį;</w:t>
      </w:r>
    </w:p>
    <w:p w14:paraId="120EFA88" w14:textId="37CB2D09" w:rsidR="00E011A5" w:rsidRPr="002F1077" w:rsidRDefault="00721B22" w:rsidP="000478F6">
      <w:pPr>
        <w:pStyle w:val="ListParagraph"/>
        <w:numPr>
          <w:ilvl w:val="0"/>
          <w:numId w:val="5"/>
        </w:numPr>
        <w:jc w:val="both"/>
        <w:rPr>
          <w:color w:val="000000"/>
        </w:rPr>
      </w:pPr>
      <w:r w:rsidRPr="002F1077">
        <w:rPr>
          <w:color w:val="000000"/>
        </w:rPr>
        <w:t>T</w:t>
      </w:r>
      <w:r w:rsidR="00E011A5" w:rsidRPr="002F1077">
        <w:rPr>
          <w:color w:val="000000"/>
        </w:rPr>
        <w:t>ie</w:t>
      </w:r>
      <w:r w:rsidRPr="002F1077">
        <w:rPr>
          <w:color w:val="000000"/>
        </w:rPr>
        <w:t>k savivaldybės, tiek ministerijos</w:t>
      </w:r>
      <w:r w:rsidR="00DD66D8" w:rsidRPr="002F1077">
        <w:rPr>
          <w:color w:val="000000"/>
        </w:rPr>
        <w:t xml:space="preserve"> </w:t>
      </w:r>
      <w:r w:rsidRPr="002F1077">
        <w:rPr>
          <w:color w:val="000000"/>
        </w:rPr>
        <w:t xml:space="preserve">turi daug patirties </w:t>
      </w:r>
      <w:r w:rsidR="00DD66D8" w:rsidRPr="002F1077">
        <w:rPr>
          <w:color w:val="000000"/>
        </w:rPr>
        <w:t>rengiant projektinius konkursus</w:t>
      </w:r>
      <w:r w:rsidR="00626CDD" w:rsidRPr="002F1077">
        <w:rPr>
          <w:color w:val="000000"/>
        </w:rPr>
        <w:t>;</w:t>
      </w:r>
    </w:p>
    <w:p w14:paraId="2090F556" w14:textId="3955AAC9" w:rsidR="00F75D8F" w:rsidRPr="002F1077" w:rsidRDefault="00F75D8F" w:rsidP="000478F6">
      <w:pPr>
        <w:pStyle w:val="ListParagraph"/>
        <w:numPr>
          <w:ilvl w:val="0"/>
          <w:numId w:val="5"/>
        </w:numPr>
        <w:jc w:val="both"/>
        <w:rPr>
          <w:color w:val="000000"/>
        </w:rPr>
      </w:pPr>
      <w:r w:rsidRPr="002F1077">
        <w:rPr>
          <w:color w:val="000000"/>
        </w:rPr>
        <w:t>Nevyriausybinės organizacijos turi patirties ir geba parengti paraiškas</w:t>
      </w:r>
      <w:r w:rsidR="0098130D" w:rsidRPr="002F1077">
        <w:rPr>
          <w:color w:val="000000"/>
        </w:rPr>
        <w:t xml:space="preserve">, </w:t>
      </w:r>
      <w:r w:rsidR="00C41AFA" w:rsidRPr="002F1077">
        <w:rPr>
          <w:color w:val="000000"/>
        </w:rPr>
        <w:t>ataskaitas</w:t>
      </w:r>
      <w:r w:rsidRPr="002F1077">
        <w:rPr>
          <w:color w:val="000000"/>
        </w:rPr>
        <w:t xml:space="preserve"> bei įgyvendinti projektus</w:t>
      </w:r>
      <w:r w:rsidR="00626CDD" w:rsidRPr="002F1077">
        <w:rPr>
          <w:color w:val="000000"/>
        </w:rPr>
        <w:t>;</w:t>
      </w:r>
    </w:p>
    <w:p w14:paraId="5C828EB8" w14:textId="391B2DEC" w:rsidR="00626CDD" w:rsidRPr="002F1077" w:rsidRDefault="00921D01" w:rsidP="000478F6">
      <w:pPr>
        <w:pStyle w:val="ListParagraph"/>
        <w:numPr>
          <w:ilvl w:val="0"/>
          <w:numId w:val="5"/>
        </w:numPr>
        <w:jc w:val="both"/>
        <w:rPr>
          <w:color w:val="000000"/>
        </w:rPr>
      </w:pPr>
      <w:r w:rsidRPr="002F1077">
        <w:rPr>
          <w:color w:val="000000"/>
        </w:rPr>
        <w:t>Pat</w:t>
      </w:r>
      <w:r w:rsidR="006337EF" w:rsidRPr="002F1077">
        <w:rPr>
          <w:color w:val="000000"/>
        </w:rPr>
        <w:t>ogiausia organizuoti NVO veiklas iki metų trukmės;</w:t>
      </w:r>
    </w:p>
    <w:p w14:paraId="62BD7E37" w14:textId="279433E0" w:rsidR="00112979" w:rsidRPr="002F1077" w:rsidRDefault="00112979" w:rsidP="000478F6">
      <w:pPr>
        <w:pStyle w:val="ListParagraph"/>
        <w:numPr>
          <w:ilvl w:val="0"/>
          <w:numId w:val="5"/>
        </w:numPr>
        <w:jc w:val="both"/>
        <w:rPr>
          <w:color w:val="000000"/>
        </w:rPr>
      </w:pPr>
      <w:r w:rsidRPr="002F1077">
        <w:rPr>
          <w:color w:val="000000"/>
        </w:rPr>
        <w:t>Labai tinka eksperimentams, naujų metodų ar veiklų paieškai</w:t>
      </w:r>
      <w:r w:rsidR="00384E19" w:rsidRPr="002F1077">
        <w:rPr>
          <w:color w:val="000000"/>
        </w:rPr>
        <w:t xml:space="preserve">, problemų sprendimui, konkrečių akcijų ar kampanijų </w:t>
      </w:r>
      <w:r w:rsidR="00FC38BD" w:rsidRPr="002F1077">
        <w:rPr>
          <w:color w:val="000000"/>
        </w:rPr>
        <w:t>organizavimo veiklos;</w:t>
      </w:r>
    </w:p>
    <w:p w14:paraId="7B96EE9D" w14:textId="1F47E7F1" w:rsidR="005E7DD5" w:rsidRPr="002F1077" w:rsidRDefault="008175BE" w:rsidP="000478F6">
      <w:pPr>
        <w:pStyle w:val="ListParagraph"/>
        <w:numPr>
          <w:ilvl w:val="0"/>
          <w:numId w:val="5"/>
        </w:numPr>
        <w:jc w:val="both"/>
        <w:rPr>
          <w:color w:val="000000"/>
        </w:rPr>
      </w:pPr>
      <w:r w:rsidRPr="002F1077">
        <w:rPr>
          <w:color w:val="000000"/>
        </w:rPr>
        <w:t xml:space="preserve">Gali būti skiriamas </w:t>
      </w:r>
      <w:r w:rsidR="00C41AFA" w:rsidRPr="002F1077">
        <w:rPr>
          <w:color w:val="000000"/>
        </w:rPr>
        <w:t xml:space="preserve">finansavimas </w:t>
      </w:r>
      <w:r w:rsidRPr="002F1077">
        <w:rPr>
          <w:color w:val="000000"/>
        </w:rPr>
        <w:t>pačios NVO stiprinimui;</w:t>
      </w:r>
    </w:p>
    <w:p w14:paraId="3540CF88" w14:textId="4549C94C" w:rsidR="008175BE" w:rsidRPr="002F1077" w:rsidRDefault="005A2AB7" w:rsidP="000478F6">
      <w:pPr>
        <w:pStyle w:val="ListParagraph"/>
        <w:numPr>
          <w:ilvl w:val="0"/>
          <w:numId w:val="5"/>
        </w:numPr>
        <w:jc w:val="both"/>
        <w:rPr>
          <w:color w:val="000000"/>
        </w:rPr>
      </w:pPr>
      <w:r w:rsidRPr="002F1077">
        <w:rPr>
          <w:color w:val="000000"/>
        </w:rPr>
        <w:t xml:space="preserve">Gali būti taikomas </w:t>
      </w:r>
      <w:r w:rsidR="00446A4B" w:rsidRPr="002F1077">
        <w:rPr>
          <w:color w:val="000000"/>
        </w:rPr>
        <w:t>viešųjų paslaugų pirkimui.</w:t>
      </w:r>
    </w:p>
    <w:p w14:paraId="140DE970" w14:textId="728B4E5B" w:rsidR="004C393D" w:rsidRPr="002F1077" w:rsidRDefault="004C393D" w:rsidP="004C393D">
      <w:pPr>
        <w:jc w:val="both"/>
        <w:rPr>
          <w:color w:val="000000"/>
        </w:rPr>
      </w:pPr>
    </w:p>
    <w:p w14:paraId="6549DF2F" w14:textId="5EAB771A" w:rsidR="00E6772E" w:rsidRPr="002F1077" w:rsidRDefault="00F45028" w:rsidP="004C393D">
      <w:pPr>
        <w:jc w:val="both"/>
        <w:rPr>
          <w:color w:val="000000"/>
        </w:rPr>
      </w:pPr>
      <w:r w:rsidRPr="002F1077">
        <w:rPr>
          <w:color w:val="000000"/>
        </w:rPr>
        <w:t>Sunkumai</w:t>
      </w:r>
      <w:r w:rsidR="00E6772E" w:rsidRPr="002F1077">
        <w:rPr>
          <w:color w:val="000000"/>
        </w:rPr>
        <w:t>:</w:t>
      </w:r>
    </w:p>
    <w:p w14:paraId="4B31F030" w14:textId="25EE37F3" w:rsidR="00E6772E" w:rsidRPr="002F1077" w:rsidRDefault="00E6772E" w:rsidP="00E6772E">
      <w:pPr>
        <w:pStyle w:val="ListParagraph"/>
        <w:numPr>
          <w:ilvl w:val="0"/>
          <w:numId w:val="5"/>
        </w:numPr>
        <w:jc w:val="both"/>
        <w:rPr>
          <w:color w:val="000000"/>
        </w:rPr>
      </w:pPr>
      <w:r w:rsidRPr="002F1077">
        <w:rPr>
          <w:color w:val="000000"/>
        </w:rPr>
        <w:t>Dažniausia</w:t>
      </w:r>
      <w:r w:rsidR="003353EC" w:rsidRPr="002F1077">
        <w:rPr>
          <w:color w:val="000000"/>
        </w:rPr>
        <w:t xml:space="preserve">i skiriamos lėšos </w:t>
      </w:r>
      <w:r w:rsidR="005B1CFE">
        <w:rPr>
          <w:color w:val="000000"/>
        </w:rPr>
        <w:t xml:space="preserve">iki </w:t>
      </w:r>
      <w:r w:rsidR="003353EC" w:rsidRPr="002F1077">
        <w:rPr>
          <w:color w:val="000000"/>
        </w:rPr>
        <w:t>vienerių metų veiklai</w:t>
      </w:r>
      <w:r w:rsidR="00052DB4" w:rsidRPr="002F1077">
        <w:rPr>
          <w:color w:val="000000"/>
        </w:rPr>
        <w:t>;</w:t>
      </w:r>
    </w:p>
    <w:p w14:paraId="2F7F82DB" w14:textId="5A09F0D0" w:rsidR="002E0EE6" w:rsidRDefault="002E0EE6" w:rsidP="00E6772E">
      <w:pPr>
        <w:pStyle w:val="ListParagraph"/>
        <w:numPr>
          <w:ilvl w:val="0"/>
          <w:numId w:val="5"/>
        </w:numPr>
        <w:jc w:val="both"/>
        <w:rPr>
          <w:color w:val="000000"/>
        </w:rPr>
      </w:pPr>
      <w:r w:rsidRPr="002F1077">
        <w:rPr>
          <w:color w:val="000000"/>
        </w:rPr>
        <w:t xml:space="preserve">Metinių projektų finansavimas pasiekia organizacijas </w:t>
      </w:r>
      <w:r w:rsidR="00052DB4" w:rsidRPr="002F1077">
        <w:rPr>
          <w:color w:val="000000"/>
        </w:rPr>
        <w:t>kovo mėnesį ar vėliau;</w:t>
      </w:r>
    </w:p>
    <w:p w14:paraId="4A683F97" w14:textId="44AD8295" w:rsidR="00E75807" w:rsidRPr="002F1077" w:rsidRDefault="00E75807" w:rsidP="00E6772E">
      <w:pPr>
        <w:pStyle w:val="ListParagraph"/>
        <w:numPr>
          <w:ilvl w:val="0"/>
          <w:numId w:val="5"/>
        </w:numPr>
        <w:jc w:val="both"/>
        <w:rPr>
          <w:color w:val="000000"/>
        </w:rPr>
      </w:pPr>
      <w:r>
        <w:rPr>
          <w:color w:val="000000"/>
        </w:rPr>
        <w:t xml:space="preserve">Vėluojantis finansavimas dažnai sudaro galimybę laimėjus konkursą pasidengti išlaidas nuo metų pradžios, tačiau organizacijos labai rizikuoja turėdamos išlaidų, nes ne visos laimi konkursus, o nelaimėjus visos išlaidos tampa nuostoliu.  </w:t>
      </w:r>
    </w:p>
    <w:p w14:paraId="257B359E" w14:textId="378499AE" w:rsidR="00664420" w:rsidRPr="002F1077" w:rsidRDefault="00664420" w:rsidP="00E6772E">
      <w:pPr>
        <w:pStyle w:val="ListParagraph"/>
        <w:numPr>
          <w:ilvl w:val="0"/>
          <w:numId w:val="5"/>
        </w:numPr>
        <w:jc w:val="both"/>
        <w:rPr>
          <w:color w:val="000000"/>
        </w:rPr>
      </w:pPr>
      <w:r w:rsidRPr="002F1077">
        <w:rPr>
          <w:color w:val="000000"/>
        </w:rPr>
        <w:t>Labai sudėtinga paslaugų gavėjų apskaita</w:t>
      </w:r>
      <w:r w:rsidR="00C20469" w:rsidRPr="002F1077">
        <w:rPr>
          <w:color w:val="000000"/>
        </w:rPr>
        <w:t xml:space="preserve"> vertinant visų vieno konkurso projektų įgyvendintojų veiklas</w:t>
      </w:r>
      <w:r w:rsidR="007A25B1" w:rsidRPr="002F1077">
        <w:rPr>
          <w:color w:val="000000"/>
        </w:rPr>
        <w:t>;</w:t>
      </w:r>
    </w:p>
    <w:p w14:paraId="3E133232" w14:textId="086966C9" w:rsidR="00052DB4" w:rsidRPr="002F1077" w:rsidRDefault="00052DB4" w:rsidP="00E6772E">
      <w:pPr>
        <w:pStyle w:val="ListParagraph"/>
        <w:numPr>
          <w:ilvl w:val="0"/>
          <w:numId w:val="5"/>
        </w:numPr>
        <w:jc w:val="both"/>
        <w:rPr>
          <w:color w:val="000000"/>
        </w:rPr>
      </w:pPr>
      <w:r w:rsidRPr="002F1077">
        <w:rPr>
          <w:color w:val="000000"/>
        </w:rPr>
        <w:t xml:space="preserve">Vieno ar net kelių projektų </w:t>
      </w:r>
      <w:r w:rsidR="001B5F54" w:rsidRPr="002F1077">
        <w:rPr>
          <w:color w:val="000000"/>
        </w:rPr>
        <w:t>nevyriausybinei organizacijai nepakanka, kad išgyventų, todėl atstovai ieško papildomų veiklų</w:t>
      </w:r>
      <w:r w:rsidR="0068285F" w:rsidRPr="002F1077">
        <w:rPr>
          <w:color w:val="000000"/>
        </w:rPr>
        <w:t xml:space="preserve"> ar darbų;</w:t>
      </w:r>
    </w:p>
    <w:p w14:paraId="4E98F4BA" w14:textId="32864CE5" w:rsidR="0068285F" w:rsidRPr="002F1077" w:rsidRDefault="0068285F" w:rsidP="00E6772E">
      <w:pPr>
        <w:pStyle w:val="ListParagraph"/>
        <w:numPr>
          <w:ilvl w:val="0"/>
          <w:numId w:val="5"/>
        </w:numPr>
        <w:jc w:val="both"/>
        <w:rPr>
          <w:color w:val="000000"/>
        </w:rPr>
      </w:pPr>
      <w:r w:rsidRPr="002F1077">
        <w:rPr>
          <w:color w:val="000000"/>
        </w:rPr>
        <w:t>Lėšų panaudojimas yra ganėtinai suvaržytas (palyginus su kitomis finansavimo priemonėmis)</w:t>
      </w:r>
      <w:r w:rsidR="005E7DF9" w:rsidRPr="002F1077">
        <w:rPr>
          <w:color w:val="000000"/>
        </w:rPr>
        <w:t>, sudėtinga keisti biudžetą ar panaudoti nenumatytiems dalyka</w:t>
      </w:r>
      <w:r w:rsidR="008B0829" w:rsidRPr="002F1077">
        <w:rPr>
          <w:color w:val="000000"/>
        </w:rPr>
        <w:t>ms</w:t>
      </w:r>
      <w:r w:rsidR="001C7950" w:rsidRPr="002F1077">
        <w:rPr>
          <w:color w:val="000000"/>
        </w:rPr>
        <w:t>;</w:t>
      </w:r>
    </w:p>
    <w:p w14:paraId="6540C65B" w14:textId="619EFCC0" w:rsidR="001C7950" w:rsidRPr="002F1077" w:rsidRDefault="00F66FF3" w:rsidP="00E6772E">
      <w:pPr>
        <w:pStyle w:val="ListParagraph"/>
        <w:numPr>
          <w:ilvl w:val="0"/>
          <w:numId w:val="5"/>
        </w:numPr>
        <w:jc w:val="both"/>
        <w:rPr>
          <w:color w:val="000000"/>
        </w:rPr>
      </w:pPr>
      <w:r w:rsidRPr="002F1077">
        <w:rPr>
          <w:color w:val="000000"/>
        </w:rPr>
        <w:lastRenderedPageBreak/>
        <w:t>Organizacijos dirbdamos tik per projektus visai neturi „laisvų lėšų“, kuriomis galėtų būtų apmokamos kai kurios privalomos išlaidos</w:t>
      </w:r>
      <w:r w:rsidR="00782328" w:rsidRPr="002F1077">
        <w:rPr>
          <w:color w:val="000000"/>
        </w:rPr>
        <w:t>;</w:t>
      </w:r>
    </w:p>
    <w:p w14:paraId="2B53443E" w14:textId="01F08AD1" w:rsidR="001E3614" w:rsidRPr="002F1077" w:rsidRDefault="007461DA" w:rsidP="00E6772E">
      <w:pPr>
        <w:pStyle w:val="ListParagraph"/>
        <w:numPr>
          <w:ilvl w:val="0"/>
          <w:numId w:val="5"/>
        </w:numPr>
        <w:jc w:val="both"/>
        <w:rPr>
          <w:color w:val="000000"/>
        </w:rPr>
      </w:pPr>
      <w:r w:rsidRPr="002F1077">
        <w:rPr>
          <w:color w:val="000000"/>
        </w:rPr>
        <w:t>Niekaip nepadeda užtikrinti veiklos ar paslaugų konkurencijos</w:t>
      </w:r>
      <w:r w:rsidR="00FD5782" w:rsidRPr="002F1077">
        <w:rPr>
          <w:color w:val="000000"/>
        </w:rPr>
        <w:t xml:space="preserve"> (konkurencija tik paraiškų rašyme);</w:t>
      </w:r>
    </w:p>
    <w:p w14:paraId="040A1559" w14:textId="160E6D44" w:rsidR="00FD5782" w:rsidRPr="002F1077" w:rsidRDefault="00C40EC8" w:rsidP="00E6772E">
      <w:pPr>
        <w:pStyle w:val="ListParagraph"/>
        <w:numPr>
          <w:ilvl w:val="0"/>
          <w:numId w:val="5"/>
        </w:numPr>
        <w:jc w:val="both"/>
        <w:rPr>
          <w:color w:val="000000"/>
        </w:rPr>
      </w:pPr>
      <w:r w:rsidRPr="002F1077">
        <w:rPr>
          <w:color w:val="000000"/>
        </w:rPr>
        <w:t xml:space="preserve">Nepadeda koncentruoti kvalifikuoto personalo </w:t>
      </w:r>
      <w:r w:rsidR="00D81A49" w:rsidRPr="002F1077">
        <w:rPr>
          <w:color w:val="000000"/>
        </w:rPr>
        <w:t xml:space="preserve">regionuose dėl nepastovumo ir garantijų trūkumo ilgalaikėje </w:t>
      </w:r>
      <w:r w:rsidR="00B74A0A" w:rsidRPr="002F1077">
        <w:rPr>
          <w:color w:val="000000"/>
        </w:rPr>
        <w:t>perspektyvoje;</w:t>
      </w:r>
    </w:p>
    <w:p w14:paraId="1514C10A" w14:textId="793D814B" w:rsidR="00D81A49" w:rsidRPr="002F1077" w:rsidRDefault="000601C4" w:rsidP="00E6772E">
      <w:pPr>
        <w:pStyle w:val="ListParagraph"/>
        <w:numPr>
          <w:ilvl w:val="0"/>
          <w:numId w:val="5"/>
        </w:numPr>
        <w:jc w:val="both"/>
        <w:rPr>
          <w:color w:val="000000"/>
        </w:rPr>
      </w:pPr>
      <w:r w:rsidRPr="002F1077">
        <w:rPr>
          <w:color w:val="000000"/>
        </w:rPr>
        <w:t xml:space="preserve">Atskiri projektinio finansavimo konkursai reikalauja organizacijos </w:t>
      </w:r>
      <w:r w:rsidR="002D4D91" w:rsidRPr="002F1077">
        <w:rPr>
          <w:color w:val="000000"/>
        </w:rPr>
        <w:t>finansinio indėlio, kurio NVO dažniausiai neturi.</w:t>
      </w:r>
    </w:p>
    <w:p w14:paraId="7CA09063" w14:textId="77777777" w:rsidR="000C6CD7" w:rsidRDefault="000C6CD7" w:rsidP="00B920EF">
      <w:pPr>
        <w:jc w:val="both"/>
        <w:rPr>
          <w:color w:val="000000"/>
        </w:rPr>
      </w:pPr>
    </w:p>
    <w:p w14:paraId="67BD0F2A" w14:textId="77777777" w:rsidR="000C6CD7" w:rsidRPr="002F1077" w:rsidRDefault="000C6CD7" w:rsidP="00B920EF">
      <w:pPr>
        <w:jc w:val="both"/>
        <w:rPr>
          <w:color w:val="000000"/>
        </w:rPr>
      </w:pPr>
    </w:p>
    <w:p w14:paraId="37E25260" w14:textId="3BE79E4A" w:rsidR="00B920EF" w:rsidRPr="002F1077" w:rsidRDefault="00CA3421" w:rsidP="00B920EF">
      <w:pPr>
        <w:jc w:val="both"/>
        <w:rPr>
          <w:b/>
          <w:bCs/>
          <w:color w:val="000000"/>
        </w:rPr>
      </w:pPr>
      <w:r w:rsidRPr="002F1077">
        <w:rPr>
          <w:b/>
          <w:bCs/>
          <w:color w:val="000000"/>
        </w:rPr>
        <w:t>Akreditacija</w:t>
      </w:r>
      <w:r w:rsidR="009A63D1" w:rsidRPr="002F1077">
        <w:rPr>
          <w:b/>
          <w:bCs/>
          <w:color w:val="000000"/>
        </w:rPr>
        <w:t>/krepšelio principas</w:t>
      </w:r>
    </w:p>
    <w:p w14:paraId="3FB0487C" w14:textId="04FCF68E" w:rsidR="009A63D1" w:rsidRPr="002F1077" w:rsidRDefault="009A63D1" w:rsidP="00B920EF">
      <w:pPr>
        <w:jc w:val="both"/>
        <w:rPr>
          <w:color w:val="000000"/>
        </w:rPr>
      </w:pPr>
    </w:p>
    <w:p w14:paraId="778B6319" w14:textId="3EDEC8A6" w:rsidR="001338B2" w:rsidRPr="002F1077" w:rsidRDefault="001338B2" w:rsidP="00B920EF">
      <w:pPr>
        <w:jc w:val="both"/>
        <w:rPr>
          <w:color w:val="000000"/>
        </w:rPr>
      </w:pPr>
      <w:r w:rsidRPr="002F1077">
        <w:rPr>
          <w:color w:val="000000"/>
        </w:rPr>
        <w:t>Privalumai:</w:t>
      </w:r>
    </w:p>
    <w:p w14:paraId="03C47089" w14:textId="6A381C83" w:rsidR="001338B2" w:rsidRPr="002F1077" w:rsidRDefault="001338B2" w:rsidP="001338B2">
      <w:pPr>
        <w:pStyle w:val="ListParagraph"/>
        <w:numPr>
          <w:ilvl w:val="0"/>
          <w:numId w:val="5"/>
        </w:numPr>
        <w:jc w:val="both"/>
        <w:rPr>
          <w:color w:val="000000"/>
        </w:rPr>
      </w:pPr>
      <w:r w:rsidRPr="002F1077">
        <w:rPr>
          <w:color w:val="000000"/>
        </w:rPr>
        <w:t>Geriausiai tinkama</w:t>
      </w:r>
      <w:r w:rsidR="004C72D7" w:rsidRPr="002F1077">
        <w:rPr>
          <w:color w:val="000000"/>
        </w:rPr>
        <w:t>s finansuoti paslaugų teikimą;</w:t>
      </w:r>
    </w:p>
    <w:p w14:paraId="05AAAB08" w14:textId="357231ED" w:rsidR="00F80AD9" w:rsidRPr="002F1077" w:rsidRDefault="00F80AD9" w:rsidP="001338B2">
      <w:pPr>
        <w:pStyle w:val="ListParagraph"/>
        <w:numPr>
          <w:ilvl w:val="0"/>
          <w:numId w:val="5"/>
        </w:numPr>
        <w:jc w:val="both"/>
        <w:rPr>
          <w:color w:val="000000"/>
        </w:rPr>
      </w:pPr>
      <w:r w:rsidRPr="002F1077">
        <w:rPr>
          <w:color w:val="000000"/>
        </w:rPr>
        <w:t>Užtikrina pačią paslaugą, o ne</w:t>
      </w:r>
      <w:r w:rsidR="003761CC" w:rsidRPr="002F1077">
        <w:rPr>
          <w:color w:val="000000"/>
        </w:rPr>
        <w:t xml:space="preserve"> konkrečių organizacijų išlaikymą;</w:t>
      </w:r>
    </w:p>
    <w:p w14:paraId="78F20E29" w14:textId="2011DB2C" w:rsidR="00EF0750" w:rsidRPr="002F1077" w:rsidRDefault="00EF0750" w:rsidP="001338B2">
      <w:pPr>
        <w:pStyle w:val="ListParagraph"/>
        <w:numPr>
          <w:ilvl w:val="0"/>
          <w:numId w:val="5"/>
        </w:numPr>
        <w:jc w:val="both"/>
        <w:rPr>
          <w:color w:val="000000"/>
        </w:rPr>
      </w:pPr>
      <w:r w:rsidRPr="002F1077">
        <w:rPr>
          <w:color w:val="000000"/>
        </w:rPr>
        <w:t xml:space="preserve">Užtikrina skaidrumą ir viešumą (išvengiama </w:t>
      </w:r>
      <w:r w:rsidR="00826DA3" w:rsidRPr="002F1077">
        <w:rPr>
          <w:color w:val="000000"/>
        </w:rPr>
        <w:t>skirtingo dydžio išmokų organizacijoms už tokį pat darbą)</w:t>
      </w:r>
      <w:r w:rsidR="007B6CFE">
        <w:rPr>
          <w:color w:val="000000"/>
        </w:rPr>
        <w:t>;</w:t>
      </w:r>
    </w:p>
    <w:p w14:paraId="6F95A06E" w14:textId="6796F26A" w:rsidR="002E60A5" w:rsidRPr="002F1077" w:rsidRDefault="00D70A49" w:rsidP="001338B2">
      <w:pPr>
        <w:pStyle w:val="ListParagraph"/>
        <w:numPr>
          <w:ilvl w:val="0"/>
          <w:numId w:val="5"/>
        </w:numPr>
        <w:jc w:val="both"/>
        <w:rPr>
          <w:color w:val="000000"/>
        </w:rPr>
      </w:pPr>
      <w:r w:rsidRPr="002F1077">
        <w:rPr>
          <w:color w:val="000000"/>
        </w:rPr>
        <w:t xml:space="preserve">Tinkama priemonė formuoti konkurencinę aplinką, siekiant </w:t>
      </w:r>
      <w:r w:rsidR="00F37836" w:rsidRPr="002F1077">
        <w:rPr>
          <w:color w:val="000000"/>
        </w:rPr>
        <w:t>paslaugų kokybės;</w:t>
      </w:r>
    </w:p>
    <w:p w14:paraId="24DEB735" w14:textId="237EFFFD" w:rsidR="00996446" w:rsidRPr="002F1077" w:rsidRDefault="00996446" w:rsidP="001338B2">
      <w:pPr>
        <w:pStyle w:val="ListParagraph"/>
        <w:numPr>
          <w:ilvl w:val="0"/>
          <w:numId w:val="5"/>
        </w:numPr>
        <w:jc w:val="both"/>
        <w:rPr>
          <w:color w:val="000000"/>
        </w:rPr>
      </w:pPr>
      <w:r w:rsidRPr="002F1077">
        <w:rPr>
          <w:color w:val="000000"/>
        </w:rPr>
        <w:t xml:space="preserve">Sudaro galimybes užtikrinti vienodas sąlygas tiek </w:t>
      </w:r>
      <w:r w:rsidR="00BC03FB" w:rsidRPr="002F1077">
        <w:rPr>
          <w:color w:val="000000"/>
        </w:rPr>
        <w:t>biudžetinėms</w:t>
      </w:r>
      <w:r w:rsidRPr="002F1077">
        <w:rPr>
          <w:color w:val="000000"/>
        </w:rPr>
        <w:t xml:space="preserve"> </w:t>
      </w:r>
      <w:r w:rsidR="00BC03FB" w:rsidRPr="002F1077">
        <w:rPr>
          <w:color w:val="000000"/>
        </w:rPr>
        <w:t>įstaigoms</w:t>
      </w:r>
      <w:r w:rsidRPr="002F1077">
        <w:rPr>
          <w:color w:val="000000"/>
        </w:rPr>
        <w:t>, tiek nevyriausybinėms organizacijoms</w:t>
      </w:r>
      <w:r w:rsidR="00BC03FB" w:rsidRPr="002F1077">
        <w:rPr>
          <w:color w:val="000000"/>
        </w:rPr>
        <w:t xml:space="preserve"> teikti paslaugas;</w:t>
      </w:r>
    </w:p>
    <w:p w14:paraId="33A195D4" w14:textId="35C405FA" w:rsidR="00F37836" w:rsidRPr="002F1077" w:rsidRDefault="00F37836" w:rsidP="001338B2">
      <w:pPr>
        <w:pStyle w:val="ListParagraph"/>
        <w:numPr>
          <w:ilvl w:val="0"/>
          <w:numId w:val="5"/>
        </w:numPr>
        <w:jc w:val="both"/>
        <w:rPr>
          <w:color w:val="000000"/>
        </w:rPr>
      </w:pPr>
      <w:r w:rsidRPr="002F1077">
        <w:rPr>
          <w:color w:val="000000"/>
        </w:rPr>
        <w:t xml:space="preserve">Užtikrina galimybę įsitraukti naujiems </w:t>
      </w:r>
      <w:r w:rsidR="00C32089" w:rsidRPr="002F1077">
        <w:rPr>
          <w:color w:val="000000"/>
        </w:rPr>
        <w:t>dalyviams į paslaugų teikimą;</w:t>
      </w:r>
    </w:p>
    <w:p w14:paraId="24078C8F" w14:textId="3491DDBD" w:rsidR="004C72D7" w:rsidRPr="002F1077" w:rsidRDefault="000D3AD6" w:rsidP="001338B2">
      <w:pPr>
        <w:pStyle w:val="ListParagraph"/>
        <w:numPr>
          <w:ilvl w:val="0"/>
          <w:numId w:val="5"/>
        </w:numPr>
        <w:jc w:val="both"/>
        <w:rPr>
          <w:color w:val="000000"/>
        </w:rPr>
      </w:pPr>
      <w:r>
        <w:rPr>
          <w:color w:val="000000"/>
        </w:rPr>
        <w:t>Trejų metų sutarties atveju yra u</w:t>
      </w:r>
      <w:r w:rsidR="0032457E" w:rsidRPr="002F1077">
        <w:rPr>
          <w:color w:val="000000"/>
        </w:rPr>
        <w:t>žtikrina</w:t>
      </w:r>
      <w:r>
        <w:rPr>
          <w:color w:val="000000"/>
        </w:rPr>
        <w:t>mas</w:t>
      </w:r>
      <w:r w:rsidR="0032457E" w:rsidRPr="002F1077">
        <w:rPr>
          <w:color w:val="000000"/>
        </w:rPr>
        <w:t xml:space="preserve"> paslaugos teikim</w:t>
      </w:r>
      <w:r>
        <w:rPr>
          <w:color w:val="000000"/>
        </w:rPr>
        <w:t>as</w:t>
      </w:r>
      <w:r w:rsidR="0032457E" w:rsidRPr="002F1077">
        <w:rPr>
          <w:color w:val="000000"/>
        </w:rPr>
        <w:t xml:space="preserve"> 12 mėnesių per metus;</w:t>
      </w:r>
    </w:p>
    <w:p w14:paraId="5080A1A5" w14:textId="040F39E7" w:rsidR="0032457E" w:rsidRPr="002F1077" w:rsidRDefault="0032457E" w:rsidP="001338B2">
      <w:pPr>
        <w:pStyle w:val="ListParagraph"/>
        <w:numPr>
          <w:ilvl w:val="0"/>
          <w:numId w:val="5"/>
        </w:numPr>
        <w:jc w:val="both"/>
        <w:rPr>
          <w:color w:val="000000"/>
        </w:rPr>
      </w:pPr>
      <w:r w:rsidRPr="002F1077">
        <w:rPr>
          <w:color w:val="000000"/>
        </w:rPr>
        <w:t xml:space="preserve">Užtikrina galimybę paslaugų teikėjų organizacijoms išlaikyti </w:t>
      </w:r>
      <w:r w:rsidR="00555691" w:rsidRPr="002F1077">
        <w:rPr>
          <w:color w:val="000000"/>
        </w:rPr>
        <w:t>kvalifikuotus darbuotojus nenutraukiant darbo sutarties;</w:t>
      </w:r>
    </w:p>
    <w:p w14:paraId="572D0259" w14:textId="3AF980BB" w:rsidR="001F6463" w:rsidRPr="002F1077" w:rsidRDefault="005A3FFC" w:rsidP="001338B2">
      <w:pPr>
        <w:pStyle w:val="ListParagraph"/>
        <w:numPr>
          <w:ilvl w:val="0"/>
          <w:numId w:val="5"/>
        </w:numPr>
        <w:jc w:val="both"/>
        <w:rPr>
          <w:color w:val="000000"/>
        </w:rPr>
      </w:pPr>
      <w:r w:rsidRPr="002F1077">
        <w:rPr>
          <w:color w:val="000000"/>
        </w:rPr>
        <w:t xml:space="preserve">Akredituojanti įstaiga gali pasitvirtinti vidinės tvarkos aprašą pagal kurį </w:t>
      </w:r>
      <w:r w:rsidR="007A268C" w:rsidRPr="002F1077">
        <w:rPr>
          <w:color w:val="000000"/>
        </w:rPr>
        <w:t>galėtų be naujų konkursų suteikti papildomą finansavimą paslaugas teikiančioms organizacijoms (</w:t>
      </w:r>
      <w:r w:rsidR="007B3404" w:rsidRPr="002F1077">
        <w:rPr>
          <w:color w:val="000000"/>
        </w:rPr>
        <w:t>pvz., patalpų pritaikymui, kvalifikacijos kėlimui ir pan.)</w:t>
      </w:r>
      <w:r w:rsidR="003761CC" w:rsidRPr="002F1077">
        <w:rPr>
          <w:color w:val="000000"/>
        </w:rPr>
        <w:t>;</w:t>
      </w:r>
    </w:p>
    <w:p w14:paraId="6511390E" w14:textId="23975CE9" w:rsidR="002D4D91" w:rsidRPr="002F1077" w:rsidRDefault="002D4D91" w:rsidP="001338B2">
      <w:pPr>
        <w:pStyle w:val="ListParagraph"/>
        <w:numPr>
          <w:ilvl w:val="0"/>
          <w:numId w:val="5"/>
        </w:numPr>
        <w:jc w:val="both"/>
        <w:rPr>
          <w:color w:val="000000"/>
        </w:rPr>
      </w:pPr>
      <w:r w:rsidRPr="002F1077">
        <w:rPr>
          <w:color w:val="000000"/>
        </w:rPr>
        <w:t>Sudaro galimybes organizacijai įtraukti savanorius bei pritraukti papildomą finansavimą</w:t>
      </w:r>
      <w:r w:rsidR="001B34D2" w:rsidRPr="002F1077">
        <w:rPr>
          <w:color w:val="000000"/>
        </w:rPr>
        <w:t>.</w:t>
      </w:r>
    </w:p>
    <w:p w14:paraId="3BF94AD9" w14:textId="1B3D5B6D" w:rsidR="00566026" w:rsidRPr="002F1077" w:rsidRDefault="00566026" w:rsidP="00566026">
      <w:pPr>
        <w:jc w:val="both"/>
        <w:rPr>
          <w:color w:val="000000"/>
        </w:rPr>
      </w:pPr>
    </w:p>
    <w:p w14:paraId="1BE9214B" w14:textId="1E7EEC41" w:rsidR="00566026" w:rsidRPr="002F1077" w:rsidRDefault="00F45028" w:rsidP="00566026">
      <w:pPr>
        <w:jc w:val="both"/>
        <w:rPr>
          <w:color w:val="000000"/>
        </w:rPr>
      </w:pPr>
      <w:r w:rsidRPr="002F1077">
        <w:rPr>
          <w:color w:val="000000"/>
        </w:rPr>
        <w:t>Sunkumai</w:t>
      </w:r>
      <w:r w:rsidR="00566026" w:rsidRPr="002F1077">
        <w:rPr>
          <w:color w:val="000000"/>
        </w:rPr>
        <w:t>:</w:t>
      </w:r>
    </w:p>
    <w:p w14:paraId="6858E06B" w14:textId="5A106CCA" w:rsidR="00566026" w:rsidRPr="002F1077" w:rsidRDefault="003C416A" w:rsidP="00566026">
      <w:pPr>
        <w:pStyle w:val="ListParagraph"/>
        <w:numPr>
          <w:ilvl w:val="0"/>
          <w:numId w:val="5"/>
        </w:numPr>
        <w:jc w:val="both"/>
        <w:rPr>
          <w:color w:val="000000"/>
        </w:rPr>
      </w:pPr>
      <w:r w:rsidRPr="002F1077">
        <w:rPr>
          <w:color w:val="000000"/>
        </w:rPr>
        <w:t>Nepatogus būdas finansuoti veiklas, nesusijusias su paslaugomis</w:t>
      </w:r>
      <w:r w:rsidR="007A244A">
        <w:rPr>
          <w:color w:val="000000"/>
        </w:rPr>
        <w:t xml:space="preserve"> konkretiems asmenims</w:t>
      </w:r>
      <w:r w:rsidRPr="002F1077">
        <w:rPr>
          <w:color w:val="000000"/>
        </w:rPr>
        <w:t>;</w:t>
      </w:r>
    </w:p>
    <w:p w14:paraId="4BBE5FD9" w14:textId="41B0B38C" w:rsidR="003C416A" w:rsidRPr="002F1077" w:rsidRDefault="007B3404" w:rsidP="00566026">
      <w:pPr>
        <w:pStyle w:val="ListParagraph"/>
        <w:numPr>
          <w:ilvl w:val="0"/>
          <w:numId w:val="5"/>
        </w:numPr>
        <w:jc w:val="both"/>
        <w:rPr>
          <w:color w:val="000000"/>
        </w:rPr>
      </w:pPr>
      <w:r w:rsidRPr="002F1077">
        <w:rPr>
          <w:color w:val="000000"/>
        </w:rPr>
        <w:t xml:space="preserve">Netinkamas būdas </w:t>
      </w:r>
      <w:r w:rsidR="00864421" w:rsidRPr="002F1077">
        <w:rPr>
          <w:color w:val="000000"/>
        </w:rPr>
        <w:t>finansuoti įvairius socialinius eksperimentus, idėjų</w:t>
      </w:r>
      <w:r w:rsidR="00FE0CA5" w:rsidRPr="002F1077">
        <w:rPr>
          <w:color w:val="000000"/>
        </w:rPr>
        <w:t>,</w:t>
      </w:r>
      <w:r w:rsidR="00864421" w:rsidRPr="002F1077">
        <w:rPr>
          <w:color w:val="000000"/>
        </w:rPr>
        <w:t xml:space="preserve"> metodų</w:t>
      </w:r>
      <w:r w:rsidR="00FE0CA5" w:rsidRPr="002F1077">
        <w:rPr>
          <w:color w:val="000000"/>
        </w:rPr>
        <w:t xml:space="preserve"> ar kitų inovacijų</w:t>
      </w:r>
      <w:r w:rsidR="00864421" w:rsidRPr="002F1077">
        <w:rPr>
          <w:color w:val="000000"/>
        </w:rPr>
        <w:t xml:space="preserve"> paieškas ir pan.</w:t>
      </w:r>
      <w:r w:rsidR="00F45028" w:rsidRPr="002F1077">
        <w:rPr>
          <w:color w:val="000000"/>
        </w:rPr>
        <w:t>;</w:t>
      </w:r>
    </w:p>
    <w:p w14:paraId="32E4E54B" w14:textId="355BFE19" w:rsidR="00F45028" w:rsidRPr="002F1077" w:rsidRDefault="0094441E" w:rsidP="00566026">
      <w:pPr>
        <w:pStyle w:val="ListParagraph"/>
        <w:numPr>
          <w:ilvl w:val="0"/>
          <w:numId w:val="5"/>
        </w:numPr>
        <w:jc w:val="both"/>
        <w:rPr>
          <w:color w:val="000000"/>
        </w:rPr>
      </w:pPr>
      <w:r w:rsidRPr="002F1077">
        <w:rPr>
          <w:color w:val="000000"/>
        </w:rPr>
        <w:t>Sudėtinga vesti finansinio krepšelio gavėjų apskaitą</w:t>
      </w:r>
      <w:r w:rsidR="000369C7" w:rsidRPr="002F1077">
        <w:rPr>
          <w:color w:val="000000"/>
        </w:rPr>
        <w:t>, be užtikrinti paslaugų dubliavimą;</w:t>
      </w:r>
    </w:p>
    <w:p w14:paraId="776AC327" w14:textId="1A3EF9F5" w:rsidR="00FE0CA5" w:rsidRDefault="00295E06" w:rsidP="00566026">
      <w:pPr>
        <w:pStyle w:val="ListParagraph"/>
        <w:numPr>
          <w:ilvl w:val="0"/>
          <w:numId w:val="5"/>
        </w:numPr>
        <w:jc w:val="both"/>
        <w:rPr>
          <w:color w:val="000000"/>
        </w:rPr>
      </w:pPr>
      <w:r w:rsidRPr="002F1077">
        <w:rPr>
          <w:color w:val="000000"/>
        </w:rPr>
        <w:t xml:space="preserve">Tiksliai neįvertinus </w:t>
      </w:r>
      <w:r w:rsidR="00B872C9" w:rsidRPr="002F1077">
        <w:rPr>
          <w:color w:val="000000"/>
        </w:rPr>
        <w:t>asmenų, kuriems skiriamas finansinis krepšelis, gali</w:t>
      </w:r>
      <w:r w:rsidR="00F45028" w:rsidRPr="002F1077">
        <w:rPr>
          <w:color w:val="000000"/>
        </w:rPr>
        <w:t xml:space="preserve"> būti finansų deficitas;</w:t>
      </w:r>
    </w:p>
    <w:p w14:paraId="7D07FAC0" w14:textId="2A5370CE" w:rsidR="006C249F" w:rsidRPr="002F1077" w:rsidRDefault="00C02A18" w:rsidP="00566026">
      <w:pPr>
        <w:pStyle w:val="ListParagraph"/>
        <w:numPr>
          <w:ilvl w:val="0"/>
          <w:numId w:val="5"/>
        </w:numPr>
        <w:jc w:val="both"/>
        <w:rPr>
          <w:color w:val="000000"/>
        </w:rPr>
      </w:pPr>
      <w:r>
        <w:rPr>
          <w:color w:val="000000"/>
        </w:rPr>
        <w:t>Rizika netekti paslaugų teikėjų, jei jiems neužtikrinamas reikiamas tikslinės grupės asmenų skaičius, nesudarantis būtinojo finansinio minimumo, reikalingo vykdyti įsipareigojimus;</w:t>
      </w:r>
    </w:p>
    <w:p w14:paraId="2AF17058" w14:textId="0599E783" w:rsidR="00696917" w:rsidRPr="002F1077" w:rsidRDefault="00696917" w:rsidP="00566026">
      <w:pPr>
        <w:pStyle w:val="ListParagraph"/>
        <w:numPr>
          <w:ilvl w:val="0"/>
          <w:numId w:val="5"/>
        </w:numPr>
        <w:jc w:val="both"/>
        <w:rPr>
          <w:color w:val="000000"/>
        </w:rPr>
      </w:pPr>
      <w:r w:rsidRPr="002F1077">
        <w:rPr>
          <w:color w:val="000000"/>
        </w:rPr>
        <w:t xml:space="preserve">Pakankamai naujas finansavimo būdas, </w:t>
      </w:r>
      <w:r w:rsidR="00EA2676" w:rsidRPr="002F1077">
        <w:rPr>
          <w:color w:val="000000"/>
        </w:rPr>
        <w:t>neturi pakankamai patirties nei savivaldybės, nei NVO;</w:t>
      </w:r>
    </w:p>
    <w:p w14:paraId="7C534156" w14:textId="73EE4CA8" w:rsidR="00EA2676" w:rsidRPr="002F1077" w:rsidRDefault="00EA2676" w:rsidP="00566026">
      <w:pPr>
        <w:pStyle w:val="ListParagraph"/>
        <w:numPr>
          <w:ilvl w:val="0"/>
          <w:numId w:val="5"/>
        </w:numPr>
        <w:jc w:val="both"/>
        <w:rPr>
          <w:color w:val="000000"/>
        </w:rPr>
      </w:pPr>
      <w:r w:rsidRPr="002F1077">
        <w:rPr>
          <w:color w:val="000000"/>
        </w:rPr>
        <w:t xml:space="preserve">Labai sudėtinga paslaugų </w:t>
      </w:r>
      <w:r w:rsidR="007A72D6" w:rsidRPr="002F1077">
        <w:rPr>
          <w:color w:val="000000"/>
        </w:rPr>
        <w:t xml:space="preserve">teikimo kontrolė – ne kontroliuojant krenta paslaugų kokybė, netiksliai vedama </w:t>
      </w:r>
      <w:r w:rsidR="00A12893" w:rsidRPr="002F1077">
        <w:rPr>
          <w:color w:val="000000"/>
        </w:rPr>
        <w:t>klientų apskaita, o pradėjus kontroliuoti kontrolė dažnai tampa per didelė</w:t>
      </w:r>
      <w:r w:rsidR="00FB3747" w:rsidRPr="002F1077">
        <w:rPr>
          <w:color w:val="000000"/>
        </w:rPr>
        <w:t>, griaunanti bendradarbiavimą ir apsunkinanti darbą abejoms pusėms;</w:t>
      </w:r>
    </w:p>
    <w:p w14:paraId="17FFCC29" w14:textId="7D37BA10" w:rsidR="00263888" w:rsidRDefault="0075750D" w:rsidP="00566026">
      <w:pPr>
        <w:pStyle w:val="ListParagraph"/>
        <w:numPr>
          <w:ilvl w:val="0"/>
          <w:numId w:val="5"/>
        </w:numPr>
        <w:jc w:val="both"/>
        <w:rPr>
          <w:color w:val="000000"/>
        </w:rPr>
      </w:pPr>
      <w:r w:rsidRPr="002F1077">
        <w:rPr>
          <w:color w:val="000000"/>
        </w:rPr>
        <w:t>Savivaldybės trūksta patirties administruojant nepavaldžių organizacijų sklandų paslaugų teikimą</w:t>
      </w:r>
      <w:r w:rsidR="00996446" w:rsidRPr="002F1077">
        <w:rPr>
          <w:color w:val="000000"/>
        </w:rPr>
        <w:t>.</w:t>
      </w:r>
    </w:p>
    <w:p w14:paraId="5DE9F82A" w14:textId="49FE50CD" w:rsidR="000D3AD6" w:rsidRDefault="000D3AD6" w:rsidP="00566026">
      <w:pPr>
        <w:pStyle w:val="ListParagraph"/>
        <w:numPr>
          <w:ilvl w:val="0"/>
          <w:numId w:val="5"/>
        </w:numPr>
        <w:jc w:val="both"/>
        <w:rPr>
          <w:color w:val="000000"/>
        </w:rPr>
      </w:pPr>
      <w:r>
        <w:rPr>
          <w:color w:val="000000"/>
        </w:rPr>
        <w:t>Kyla iššūkių finansuotojui sumažėjus finansavimo biudžetui ar neplanuotai padidėjus paslaugų gavėjų skaičiui.</w:t>
      </w:r>
    </w:p>
    <w:p w14:paraId="7855890D" w14:textId="77777777" w:rsidR="00FB3747" w:rsidRPr="00263888" w:rsidRDefault="00FB3747" w:rsidP="00C02A18"/>
    <w:sectPr w:rsidR="00FB3747" w:rsidRPr="00263888" w:rsidSect="00314BFE">
      <w:pgSz w:w="16838" w:h="11906" w:orient="landscape"/>
      <w:pgMar w:top="1440" w:right="1440" w:bottom="79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FB30" w14:textId="77777777" w:rsidR="00367056" w:rsidRDefault="00367056" w:rsidP="00292462">
      <w:r>
        <w:separator/>
      </w:r>
    </w:p>
  </w:endnote>
  <w:endnote w:type="continuationSeparator" w:id="0">
    <w:p w14:paraId="74987096" w14:textId="77777777" w:rsidR="00367056" w:rsidRDefault="00367056" w:rsidP="00292462">
      <w:r>
        <w:continuationSeparator/>
      </w:r>
    </w:p>
  </w:endnote>
  <w:endnote w:type="continuationNotice" w:id="1">
    <w:p w14:paraId="62613695" w14:textId="77777777" w:rsidR="00367056" w:rsidRDefault="0036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B2FB" w14:textId="77777777" w:rsidR="00367056" w:rsidRDefault="00367056" w:rsidP="00292462">
      <w:r>
        <w:separator/>
      </w:r>
    </w:p>
  </w:footnote>
  <w:footnote w:type="continuationSeparator" w:id="0">
    <w:p w14:paraId="53B13455" w14:textId="77777777" w:rsidR="00367056" w:rsidRDefault="00367056" w:rsidP="00292462">
      <w:r>
        <w:continuationSeparator/>
      </w:r>
    </w:p>
  </w:footnote>
  <w:footnote w:type="continuationNotice" w:id="1">
    <w:p w14:paraId="1873D188" w14:textId="77777777" w:rsidR="00367056" w:rsidRDefault="00367056"/>
  </w:footnote>
  <w:footnote w:id="2">
    <w:p w14:paraId="7107E0B4" w14:textId="77777777" w:rsidR="00292462" w:rsidRPr="00F424A7" w:rsidRDefault="00292462" w:rsidP="00292462">
      <w:pPr>
        <w:pStyle w:val="FootnoteText"/>
      </w:pPr>
      <w:r>
        <w:rPr>
          <w:rStyle w:val="FootnoteReference"/>
        </w:rPr>
        <w:footnoteRef/>
      </w:r>
      <w:r>
        <w:t xml:space="preserve"> </w:t>
      </w:r>
      <w:hyperlink r:id="rId1" w:history="1">
        <w:r w:rsidRPr="00F424A7">
          <w:rPr>
            <w:rStyle w:val="Hyperlink"/>
          </w:rPr>
          <w:t>Viešųjų pirkimų įstatymas</w:t>
        </w:r>
      </w:hyperlink>
    </w:p>
  </w:footnote>
  <w:footnote w:id="3">
    <w:p w14:paraId="5644577E" w14:textId="77777777" w:rsidR="00292462" w:rsidRPr="00F424A7" w:rsidRDefault="00292462" w:rsidP="00292462">
      <w:pPr>
        <w:pStyle w:val="NormalWeb"/>
        <w:spacing w:before="0" w:beforeAutospacing="0" w:after="0" w:afterAutospacing="0"/>
        <w:jc w:val="both"/>
      </w:pPr>
      <w:r>
        <w:rPr>
          <w:rStyle w:val="FootnoteReference"/>
        </w:rPr>
        <w:footnoteRef/>
      </w:r>
      <w:r>
        <w:t xml:space="preserve"> </w:t>
      </w:r>
      <w:r w:rsidRPr="00F424A7">
        <w:rPr>
          <w:rFonts w:ascii="TimesNewRomanPSMT" w:hAnsi="TimesNewRomanPSMT"/>
          <w:sz w:val="20"/>
          <w:szCs w:val="20"/>
        </w:rPr>
        <w:t xml:space="preserve">BVŽP 98000000-3; 98120000-0; 98132000-7; 98133110-8 98000000-3; 98120000-0; 98132000-7: Kitos bendruomenės, socialinės ir asmeninės aptarnavimo paslaugos, įskaitant profesinių organizacijų, politinių organizacijų, jaunimo asociacijų ir kitų narystės organizacijų teikiamas paslaugas </w:t>
      </w:r>
      <w:r w:rsidRPr="00F424A7">
        <w:fldChar w:fldCharType="begin"/>
      </w:r>
      <w:r>
        <w:instrText xml:space="preserve"> INCLUDEPICTURE "C:\\var\\folders\\9f\\zfnkrvw930g3j7s21fp96sv40000gn\\T\\com.microsoft.Word\\WebArchiveCopyPasteTempFiles\\page3image1132362224" \* MERGEFORMAT </w:instrText>
      </w:r>
      <w:r w:rsidRPr="00F424A7">
        <w:fldChar w:fldCharType="end"/>
      </w:r>
    </w:p>
  </w:footnote>
  <w:footnote w:id="4">
    <w:p w14:paraId="16DD7197" w14:textId="77777777" w:rsidR="00292462" w:rsidRPr="00012D4A" w:rsidRDefault="00292462" w:rsidP="00292462">
      <w:pPr>
        <w:pStyle w:val="FootnoteText"/>
        <w:rPr>
          <w:sz w:val="18"/>
          <w:szCs w:val="18"/>
        </w:rPr>
      </w:pPr>
      <w:r>
        <w:rPr>
          <w:rStyle w:val="FootnoteReference"/>
        </w:rPr>
        <w:footnoteRef/>
      </w:r>
      <w:hyperlink r:id="rId2" w:history="1">
        <w:r w:rsidRPr="00900F66">
          <w:rPr>
            <w:rStyle w:val="Hyperlink"/>
            <w:sz w:val="18"/>
            <w:szCs w:val="18"/>
          </w:rPr>
          <w:t>https://klausk.vpt.lt/hc/lt/articles/360016426439-24-straipsnis-Rezervuota-teisė-dalyvauti-tam-tikrų-paslaugų-pirkimuose</w:t>
        </w:r>
      </w:hyperlink>
      <w:r w:rsidRPr="00012D4A">
        <w:rPr>
          <w:sz w:val="18"/>
          <w:szCs w:val="18"/>
        </w:rPr>
        <w:t xml:space="preserve"> </w:t>
      </w:r>
    </w:p>
  </w:footnote>
  <w:footnote w:id="5">
    <w:p w14:paraId="485B6826" w14:textId="77777777" w:rsidR="00292462" w:rsidRPr="00356D71" w:rsidRDefault="00292462" w:rsidP="00292462">
      <w:pPr>
        <w:pStyle w:val="FootnoteText"/>
        <w:rPr>
          <w:sz w:val="18"/>
          <w:szCs w:val="18"/>
        </w:rPr>
      </w:pPr>
      <w:r>
        <w:rPr>
          <w:rStyle w:val="FootnoteReference"/>
        </w:rPr>
        <w:footnoteRef/>
      </w:r>
      <w:hyperlink r:id="rId3" w:history="1">
        <w:r w:rsidRPr="00356D71">
          <w:rPr>
            <w:rStyle w:val="Hyperlink"/>
            <w:sz w:val="18"/>
            <w:szCs w:val="18"/>
          </w:rPr>
          <w:t>https://eacea.ec.europa.eu/national-policies/eurydice/content/early-childhood-and-school-education-funding-44_lt</w:t>
        </w:r>
      </w:hyperlink>
      <w:r w:rsidRPr="00356D71">
        <w:rPr>
          <w:sz w:val="18"/>
          <w:szCs w:val="18"/>
        </w:rPr>
        <w:t xml:space="preserve"> </w:t>
      </w:r>
    </w:p>
  </w:footnote>
  <w:footnote w:id="6">
    <w:p w14:paraId="75B75FC7" w14:textId="77777777" w:rsidR="00292462" w:rsidRPr="00356D71" w:rsidRDefault="00292462" w:rsidP="00292462">
      <w:pPr>
        <w:pStyle w:val="FootnoteText"/>
        <w:rPr>
          <w:sz w:val="18"/>
          <w:szCs w:val="18"/>
        </w:rPr>
      </w:pPr>
      <w:r w:rsidRPr="00356D71">
        <w:rPr>
          <w:rStyle w:val="FootnoteReference"/>
          <w:sz w:val="18"/>
          <w:szCs w:val="18"/>
        </w:rPr>
        <w:footnoteRef/>
      </w:r>
      <w:hyperlink r:id="rId4" w:history="1">
        <w:r w:rsidRPr="00356D71">
          <w:rPr>
            <w:rStyle w:val="Hyperlink"/>
            <w:sz w:val="18"/>
            <w:szCs w:val="18"/>
          </w:rPr>
          <w:t>https://www.klaipeda.lt/lt/sportas/sporto-programu-finansavimas/sporto-projektu-finansavimo-tvarka/5250</w:t>
        </w:r>
      </w:hyperlink>
      <w:r w:rsidRPr="00356D71">
        <w:rPr>
          <w:sz w:val="18"/>
          <w:szCs w:val="18"/>
        </w:rPr>
        <w:t xml:space="preserve"> </w:t>
      </w:r>
    </w:p>
  </w:footnote>
  <w:footnote w:id="7">
    <w:p w14:paraId="7D69D9E7" w14:textId="5CD5B482" w:rsidR="00356D71" w:rsidRPr="00356D71" w:rsidRDefault="00356D71">
      <w:pPr>
        <w:pStyle w:val="FootnoteText"/>
        <w:rPr>
          <w:sz w:val="18"/>
          <w:szCs w:val="18"/>
        </w:rPr>
      </w:pPr>
      <w:r w:rsidRPr="00356D71">
        <w:rPr>
          <w:rStyle w:val="FootnoteReference"/>
          <w:sz w:val="18"/>
          <w:szCs w:val="18"/>
        </w:rPr>
        <w:footnoteRef/>
      </w:r>
      <w:r w:rsidRPr="00356D71">
        <w:rPr>
          <w:sz w:val="18"/>
          <w:szCs w:val="18"/>
        </w:rPr>
        <w:t xml:space="preserve"> </w:t>
      </w:r>
      <w:hyperlink r:id="rId5" w:history="1">
        <w:r w:rsidRPr="00356D71">
          <w:rPr>
            <w:rStyle w:val="Hyperlink"/>
            <w:sz w:val="18"/>
            <w:szCs w:val="18"/>
          </w:rPr>
          <w:t>https://e-seimas.lrs.lt/portal/legalAct/lt/TAD/TAIS.270342/asr</w:t>
        </w:r>
      </w:hyperlink>
      <w:r w:rsidRPr="00356D71">
        <w:rPr>
          <w:sz w:val="18"/>
          <w:szCs w:val="18"/>
        </w:rPr>
        <w:t xml:space="preserve"> </w:t>
      </w:r>
    </w:p>
  </w:footnote>
  <w:footnote w:id="8">
    <w:p w14:paraId="16E25DAA" w14:textId="77777777" w:rsidR="00292462" w:rsidRPr="00012D4A" w:rsidRDefault="00292462" w:rsidP="00292462">
      <w:pPr>
        <w:pStyle w:val="FootnoteText"/>
      </w:pPr>
      <w:r w:rsidRPr="00356D71">
        <w:rPr>
          <w:rStyle w:val="FootnoteReference"/>
          <w:sz w:val="18"/>
          <w:szCs w:val="18"/>
        </w:rPr>
        <w:footnoteRef/>
      </w:r>
      <w:r w:rsidRPr="00356D71">
        <w:rPr>
          <w:sz w:val="18"/>
          <w:szCs w:val="18"/>
        </w:rPr>
        <w:t xml:space="preserve"> </w:t>
      </w:r>
      <w:hyperlink r:id="rId6" w:history="1">
        <w:r w:rsidRPr="00356D71">
          <w:rPr>
            <w:rStyle w:val="Hyperlink"/>
            <w:sz w:val="18"/>
            <w:szCs w:val="18"/>
          </w:rPr>
          <w:t>https://e-seimas.lrs.lt/portal/legalAct/lt/TAD/ebffac16bb0a11ea9a12d0dada3ca61b/asr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12A5"/>
    <w:multiLevelType w:val="hybridMultilevel"/>
    <w:tmpl w:val="88E4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63C4"/>
    <w:multiLevelType w:val="hybridMultilevel"/>
    <w:tmpl w:val="33CE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C29A4"/>
    <w:multiLevelType w:val="multilevel"/>
    <w:tmpl w:val="7BB4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AF3F77"/>
    <w:multiLevelType w:val="multilevel"/>
    <w:tmpl w:val="095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7368A8"/>
    <w:multiLevelType w:val="hybridMultilevel"/>
    <w:tmpl w:val="8B4C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C4695"/>
    <w:multiLevelType w:val="hybridMultilevel"/>
    <w:tmpl w:val="EBFA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83B58"/>
    <w:multiLevelType w:val="hybridMultilevel"/>
    <w:tmpl w:val="CBB0B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62"/>
    <w:rsid w:val="000369C7"/>
    <w:rsid w:val="000478F6"/>
    <w:rsid w:val="00052DB4"/>
    <w:rsid w:val="00053C5A"/>
    <w:rsid w:val="000553B3"/>
    <w:rsid w:val="000601C4"/>
    <w:rsid w:val="000C6CD7"/>
    <w:rsid w:val="000D3AD6"/>
    <w:rsid w:val="000E5481"/>
    <w:rsid w:val="00102A69"/>
    <w:rsid w:val="00112979"/>
    <w:rsid w:val="001338B2"/>
    <w:rsid w:val="00137E8A"/>
    <w:rsid w:val="00193917"/>
    <w:rsid w:val="001B21F8"/>
    <w:rsid w:val="001B34D2"/>
    <w:rsid w:val="001B5F54"/>
    <w:rsid w:val="001C718D"/>
    <w:rsid w:val="001C7950"/>
    <w:rsid w:val="001E3614"/>
    <w:rsid w:val="001F6463"/>
    <w:rsid w:val="002073F5"/>
    <w:rsid w:val="002266BA"/>
    <w:rsid w:val="00244907"/>
    <w:rsid w:val="00263888"/>
    <w:rsid w:val="00292462"/>
    <w:rsid w:val="00295E06"/>
    <w:rsid w:val="002B1F3E"/>
    <w:rsid w:val="002D4D91"/>
    <w:rsid w:val="002D583F"/>
    <w:rsid w:val="002E00B1"/>
    <w:rsid w:val="002E0EE6"/>
    <w:rsid w:val="002E1FA2"/>
    <w:rsid w:val="002E60A5"/>
    <w:rsid w:val="002F1077"/>
    <w:rsid w:val="00312513"/>
    <w:rsid w:val="003143DF"/>
    <w:rsid w:val="00314BFE"/>
    <w:rsid w:val="00315F05"/>
    <w:rsid w:val="0032457E"/>
    <w:rsid w:val="003353EC"/>
    <w:rsid w:val="00356D71"/>
    <w:rsid w:val="00367056"/>
    <w:rsid w:val="003700E8"/>
    <w:rsid w:val="003761CC"/>
    <w:rsid w:val="00384E19"/>
    <w:rsid w:val="003A42C3"/>
    <w:rsid w:val="003A4BAD"/>
    <w:rsid w:val="003B46AD"/>
    <w:rsid w:val="003C1DB7"/>
    <w:rsid w:val="003C2F01"/>
    <w:rsid w:val="003C416A"/>
    <w:rsid w:val="003C6C73"/>
    <w:rsid w:val="003D0437"/>
    <w:rsid w:val="003D36F7"/>
    <w:rsid w:val="00404444"/>
    <w:rsid w:val="004073B0"/>
    <w:rsid w:val="0041310A"/>
    <w:rsid w:val="00415D6D"/>
    <w:rsid w:val="00426D74"/>
    <w:rsid w:val="00446A4B"/>
    <w:rsid w:val="00470996"/>
    <w:rsid w:val="004A7FCE"/>
    <w:rsid w:val="004C393D"/>
    <w:rsid w:val="004C72D7"/>
    <w:rsid w:val="004D1AF1"/>
    <w:rsid w:val="004E28B9"/>
    <w:rsid w:val="004F230E"/>
    <w:rsid w:val="005163A9"/>
    <w:rsid w:val="00522F36"/>
    <w:rsid w:val="00555691"/>
    <w:rsid w:val="00566026"/>
    <w:rsid w:val="00570929"/>
    <w:rsid w:val="00574986"/>
    <w:rsid w:val="005A2AB7"/>
    <w:rsid w:val="005A3FFC"/>
    <w:rsid w:val="005B1CFE"/>
    <w:rsid w:val="005E01A0"/>
    <w:rsid w:val="005E7DD5"/>
    <w:rsid w:val="005E7DF9"/>
    <w:rsid w:val="00604BCC"/>
    <w:rsid w:val="00614E38"/>
    <w:rsid w:val="00626CDD"/>
    <w:rsid w:val="006337EF"/>
    <w:rsid w:val="006561D4"/>
    <w:rsid w:val="00656D9E"/>
    <w:rsid w:val="00662E80"/>
    <w:rsid w:val="00664420"/>
    <w:rsid w:val="00665E7B"/>
    <w:rsid w:val="0067273D"/>
    <w:rsid w:val="0068285F"/>
    <w:rsid w:val="0068578F"/>
    <w:rsid w:val="00691D96"/>
    <w:rsid w:val="00696917"/>
    <w:rsid w:val="006C0654"/>
    <w:rsid w:val="006C249F"/>
    <w:rsid w:val="006F1EF1"/>
    <w:rsid w:val="006F26B4"/>
    <w:rsid w:val="00721B22"/>
    <w:rsid w:val="007269A8"/>
    <w:rsid w:val="007461DA"/>
    <w:rsid w:val="007471F2"/>
    <w:rsid w:val="0075750D"/>
    <w:rsid w:val="00760366"/>
    <w:rsid w:val="00770D05"/>
    <w:rsid w:val="00782328"/>
    <w:rsid w:val="00790F3B"/>
    <w:rsid w:val="007A244A"/>
    <w:rsid w:val="007A25B1"/>
    <w:rsid w:val="007A268C"/>
    <w:rsid w:val="007A72D6"/>
    <w:rsid w:val="007B3404"/>
    <w:rsid w:val="007B6CFE"/>
    <w:rsid w:val="007C2F02"/>
    <w:rsid w:val="007E604C"/>
    <w:rsid w:val="008105F1"/>
    <w:rsid w:val="008175BE"/>
    <w:rsid w:val="00826DA3"/>
    <w:rsid w:val="008458AB"/>
    <w:rsid w:val="0084634C"/>
    <w:rsid w:val="008521B6"/>
    <w:rsid w:val="00864421"/>
    <w:rsid w:val="008A62A9"/>
    <w:rsid w:val="008B0829"/>
    <w:rsid w:val="008B31D8"/>
    <w:rsid w:val="008C4762"/>
    <w:rsid w:val="008C6E62"/>
    <w:rsid w:val="008E682C"/>
    <w:rsid w:val="009039B9"/>
    <w:rsid w:val="009121AB"/>
    <w:rsid w:val="00921D01"/>
    <w:rsid w:val="00922DAD"/>
    <w:rsid w:val="00926E37"/>
    <w:rsid w:val="0094441E"/>
    <w:rsid w:val="00947F9D"/>
    <w:rsid w:val="00956806"/>
    <w:rsid w:val="00970384"/>
    <w:rsid w:val="0098130D"/>
    <w:rsid w:val="0099404D"/>
    <w:rsid w:val="00996446"/>
    <w:rsid w:val="00997C4D"/>
    <w:rsid w:val="009A63D1"/>
    <w:rsid w:val="009B393B"/>
    <w:rsid w:val="009C0998"/>
    <w:rsid w:val="009D677E"/>
    <w:rsid w:val="009E3FB7"/>
    <w:rsid w:val="009F1DD2"/>
    <w:rsid w:val="009F2CF6"/>
    <w:rsid w:val="009F69A5"/>
    <w:rsid w:val="009F7900"/>
    <w:rsid w:val="00A12893"/>
    <w:rsid w:val="00A17610"/>
    <w:rsid w:val="00A43E79"/>
    <w:rsid w:val="00A45C3E"/>
    <w:rsid w:val="00AA0883"/>
    <w:rsid w:val="00AB06E3"/>
    <w:rsid w:val="00AC4CEB"/>
    <w:rsid w:val="00AD57F2"/>
    <w:rsid w:val="00AE09AA"/>
    <w:rsid w:val="00AF1306"/>
    <w:rsid w:val="00B11B42"/>
    <w:rsid w:val="00B133DF"/>
    <w:rsid w:val="00B156B1"/>
    <w:rsid w:val="00B3689F"/>
    <w:rsid w:val="00B635A5"/>
    <w:rsid w:val="00B74A0A"/>
    <w:rsid w:val="00B872C9"/>
    <w:rsid w:val="00B920EF"/>
    <w:rsid w:val="00BA6E4A"/>
    <w:rsid w:val="00BC03FB"/>
    <w:rsid w:val="00BD4BCD"/>
    <w:rsid w:val="00BF11CF"/>
    <w:rsid w:val="00C02A18"/>
    <w:rsid w:val="00C0777E"/>
    <w:rsid w:val="00C20469"/>
    <w:rsid w:val="00C306CD"/>
    <w:rsid w:val="00C32089"/>
    <w:rsid w:val="00C40EC8"/>
    <w:rsid w:val="00C41AFA"/>
    <w:rsid w:val="00C5123A"/>
    <w:rsid w:val="00C73419"/>
    <w:rsid w:val="00CA3421"/>
    <w:rsid w:val="00CE3EB2"/>
    <w:rsid w:val="00CF1E65"/>
    <w:rsid w:val="00CF4DAF"/>
    <w:rsid w:val="00D0680B"/>
    <w:rsid w:val="00D635BD"/>
    <w:rsid w:val="00D70A49"/>
    <w:rsid w:val="00D72BB2"/>
    <w:rsid w:val="00D74C88"/>
    <w:rsid w:val="00D81A49"/>
    <w:rsid w:val="00D82626"/>
    <w:rsid w:val="00D82AC2"/>
    <w:rsid w:val="00D90F1F"/>
    <w:rsid w:val="00DC576D"/>
    <w:rsid w:val="00DD0A32"/>
    <w:rsid w:val="00DD66D8"/>
    <w:rsid w:val="00E004AF"/>
    <w:rsid w:val="00E011A5"/>
    <w:rsid w:val="00E20267"/>
    <w:rsid w:val="00E23029"/>
    <w:rsid w:val="00E57BDE"/>
    <w:rsid w:val="00E66EFB"/>
    <w:rsid w:val="00E6772E"/>
    <w:rsid w:val="00E75807"/>
    <w:rsid w:val="00EA1A72"/>
    <w:rsid w:val="00EA2676"/>
    <w:rsid w:val="00EC1214"/>
    <w:rsid w:val="00EC77AF"/>
    <w:rsid w:val="00EE0B84"/>
    <w:rsid w:val="00EF0750"/>
    <w:rsid w:val="00F37836"/>
    <w:rsid w:val="00F45028"/>
    <w:rsid w:val="00F66FF3"/>
    <w:rsid w:val="00F72DB5"/>
    <w:rsid w:val="00F75D8F"/>
    <w:rsid w:val="00F80AD9"/>
    <w:rsid w:val="00FB3747"/>
    <w:rsid w:val="00FC38BD"/>
    <w:rsid w:val="00FD5782"/>
    <w:rsid w:val="00FE0CA5"/>
    <w:rsid w:val="00FE6921"/>
    <w:rsid w:val="00FF02EC"/>
    <w:rsid w:val="00FF0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2C34"/>
  <w15:chartTrackingRefBased/>
  <w15:docId w15:val="{AB2E7B3B-54A6-438A-B2EC-9F7C1224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2462"/>
    <w:pPr>
      <w:spacing w:before="100" w:beforeAutospacing="1" w:after="100" w:afterAutospacing="1"/>
    </w:pPr>
  </w:style>
  <w:style w:type="paragraph" w:styleId="ListParagraph">
    <w:name w:val="List Paragraph"/>
    <w:basedOn w:val="Normal"/>
    <w:uiPriority w:val="34"/>
    <w:qFormat/>
    <w:rsid w:val="00292462"/>
    <w:pPr>
      <w:ind w:left="1296"/>
    </w:pPr>
  </w:style>
  <w:style w:type="paragraph" w:styleId="FootnoteText">
    <w:name w:val="footnote text"/>
    <w:basedOn w:val="Normal"/>
    <w:link w:val="FootnoteTextChar"/>
    <w:uiPriority w:val="99"/>
    <w:semiHidden/>
    <w:unhideWhenUsed/>
    <w:rsid w:val="00292462"/>
    <w:rPr>
      <w:sz w:val="20"/>
      <w:szCs w:val="20"/>
    </w:rPr>
  </w:style>
  <w:style w:type="character" w:customStyle="1" w:styleId="FootnoteTextChar">
    <w:name w:val="Footnote Text Char"/>
    <w:basedOn w:val="DefaultParagraphFont"/>
    <w:link w:val="FootnoteText"/>
    <w:uiPriority w:val="99"/>
    <w:semiHidden/>
    <w:rsid w:val="0029246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92462"/>
    <w:rPr>
      <w:vertAlign w:val="superscript"/>
    </w:rPr>
  </w:style>
  <w:style w:type="character" w:styleId="Hyperlink">
    <w:name w:val="Hyperlink"/>
    <w:basedOn w:val="DefaultParagraphFont"/>
    <w:uiPriority w:val="99"/>
    <w:unhideWhenUsed/>
    <w:rsid w:val="00292462"/>
    <w:rPr>
      <w:color w:val="0563C1" w:themeColor="hyperlink"/>
      <w:u w:val="single"/>
    </w:rPr>
  </w:style>
  <w:style w:type="character" w:customStyle="1" w:styleId="wysiwyg-font-size-medium">
    <w:name w:val="wysiwyg-font-size-medium"/>
    <w:basedOn w:val="DefaultParagraphFont"/>
    <w:rsid w:val="00292462"/>
  </w:style>
  <w:style w:type="character" w:customStyle="1" w:styleId="wysiwyg-color-black">
    <w:name w:val="wysiwyg-color-black"/>
    <w:basedOn w:val="DefaultParagraphFont"/>
    <w:rsid w:val="00292462"/>
  </w:style>
  <w:style w:type="table" w:styleId="TableGrid">
    <w:name w:val="Table Grid"/>
    <w:basedOn w:val="TableNormal"/>
    <w:uiPriority w:val="39"/>
    <w:rsid w:val="0029246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8AB"/>
    <w:rPr>
      <w:sz w:val="16"/>
      <w:szCs w:val="16"/>
    </w:rPr>
  </w:style>
  <w:style w:type="paragraph" w:styleId="CommentText">
    <w:name w:val="annotation text"/>
    <w:basedOn w:val="Normal"/>
    <w:link w:val="CommentTextChar"/>
    <w:uiPriority w:val="99"/>
    <w:semiHidden/>
    <w:unhideWhenUsed/>
    <w:rsid w:val="008458AB"/>
    <w:rPr>
      <w:sz w:val="20"/>
      <w:szCs w:val="20"/>
    </w:rPr>
  </w:style>
  <w:style w:type="character" w:customStyle="1" w:styleId="CommentTextChar">
    <w:name w:val="Comment Text Char"/>
    <w:basedOn w:val="DefaultParagraphFont"/>
    <w:link w:val="CommentText"/>
    <w:uiPriority w:val="99"/>
    <w:semiHidden/>
    <w:rsid w:val="008458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58AB"/>
    <w:rPr>
      <w:b/>
      <w:bCs/>
    </w:rPr>
  </w:style>
  <w:style w:type="character" w:customStyle="1" w:styleId="CommentSubjectChar">
    <w:name w:val="Comment Subject Char"/>
    <w:basedOn w:val="CommentTextChar"/>
    <w:link w:val="CommentSubject"/>
    <w:uiPriority w:val="99"/>
    <w:semiHidden/>
    <w:rsid w:val="008458A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8C6E62"/>
    <w:pPr>
      <w:tabs>
        <w:tab w:val="center" w:pos="4513"/>
        <w:tab w:val="right" w:pos="9026"/>
      </w:tabs>
    </w:pPr>
  </w:style>
  <w:style w:type="character" w:customStyle="1" w:styleId="HeaderChar">
    <w:name w:val="Header Char"/>
    <w:basedOn w:val="DefaultParagraphFont"/>
    <w:link w:val="Header"/>
    <w:uiPriority w:val="99"/>
    <w:semiHidden/>
    <w:rsid w:val="008C6E6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8C6E62"/>
    <w:pPr>
      <w:tabs>
        <w:tab w:val="center" w:pos="4513"/>
        <w:tab w:val="right" w:pos="9026"/>
      </w:tabs>
    </w:pPr>
  </w:style>
  <w:style w:type="character" w:customStyle="1" w:styleId="FooterChar">
    <w:name w:val="Footer Char"/>
    <w:basedOn w:val="DefaultParagraphFont"/>
    <w:link w:val="Footer"/>
    <w:uiPriority w:val="99"/>
    <w:semiHidden/>
    <w:rsid w:val="008C6E62"/>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56D71"/>
    <w:rPr>
      <w:color w:val="605E5C"/>
      <w:shd w:val="clear" w:color="auto" w:fill="E1DFDD"/>
    </w:rPr>
  </w:style>
  <w:style w:type="paragraph" w:styleId="BalloonText">
    <w:name w:val="Balloon Text"/>
    <w:basedOn w:val="Normal"/>
    <w:link w:val="BalloonTextChar"/>
    <w:uiPriority w:val="99"/>
    <w:semiHidden/>
    <w:unhideWhenUsed/>
    <w:rsid w:val="00263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8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eimas.lrs.lt/portal/legalAct/lt/TAD/TAIS.274453/asr" TargetMode="External"/><Relationship Id="rId4" Type="http://schemas.openxmlformats.org/officeDocument/2006/relationships/settings" Target="settings.xml"/><Relationship Id="rId9" Type="http://schemas.openxmlformats.org/officeDocument/2006/relationships/hyperlink" Target="https://e-seimas.lrs.lt/portal/legalAct/lt/TAD/TAIS.270342/ybSvnxKaz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acea.ec.europa.eu/national-policies/eurydice/content/early-childhood-and-school-education-funding-44_lt" TargetMode="External"/><Relationship Id="rId2" Type="http://schemas.openxmlformats.org/officeDocument/2006/relationships/hyperlink" Target="https://klausk.vpt.lt/hc/lt/articles/360016426439-24-straipsnis-Rezervuota-teis&#279;-dalyvauti-tam-tikr&#371;-paslaug&#371;-pirkimuose" TargetMode="External"/><Relationship Id="rId1" Type="http://schemas.openxmlformats.org/officeDocument/2006/relationships/hyperlink" Target="https://e-seimas.lrs.lt/portal/legalAct/lt/TAP/203b913024fd11e79f4996496b137f39?jfwid=159qeeah4c" TargetMode="External"/><Relationship Id="rId6" Type="http://schemas.openxmlformats.org/officeDocument/2006/relationships/hyperlink" Target="https://e-seimas.lrs.lt/portal/legalAct/lt/TAD/ebffac16bb0a11ea9a12d0dada3ca61b/asr" TargetMode="External"/><Relationship Id="rId5" Type="http://schemas.openxmlformats.org/officeDocument/2006/relationships/hyperlink" Target="https://e-seimas.lrs.lt/portal/legalAct/lt/TAD/TAIS.270342/asr" TargetMode="External"/><Relationship Id="rId4" Type="http://schemas.openxmlformats.org/officeDocument/2006/relationships/hyperlink" Target="https://www.klaipeda.lt/lt/sportas/sporto-programu-finansavimas/sporto-projektu-finansavimo-tvarka/5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CB29B-CA00-4BAC-B1E1-13793515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3439</Words>
  <Characters>19603</Characters>
  <Application>Microsoft Office Word</Application>
  <DocSecurity>0</DocSecurity>
  <Lines>163</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22997</CharactersWithSpaces>
  <SharedDoc>false</SharedDoc>
  <HLinks>
    <vt:vector size="48" baseType="variant">
      <vt:variant>
        <vt:i4>3342453</vt:i4>
      </vt:variant>
      <vt:variant>
        <vt:i4>3</vt:i4>
      </vt:variant>
      <vt:variant>
        <vt:i4>0</vt:i4>
      </vt:variant>
      <vt:variant>
        <vt:i4>5</vt:i4>
      </vt:variant>
      <vt:variant>
        <vt:lpwstr>https://e-seimas.lrs.lt/portal/legalAct/lt/TAD/TAIS.274453/asr</vt:lpwstr>
      </vt:variant>
      <vt:variant>
        <vt:lpwstr/>
      </vt:variant>
      <vt:variant>
        <vt:i4>5439502</vt:i4>
      </vt:variant>
      <vt:variant>
        <vt:i4>0</vt:i4>
      </vt:variant>
      <vt:variant>
        <vt:i4>0</vt:i4>
      </vt:variant>
      <vt:variant>
        <vt:i4>5</vt:i4>
      </vt:variant>
      <vt:variant>
        <vt:lpwstr>https://e-seimas.lrs.lt/portal/legalAct/lt/TAD/TAIS.270342/ybSvnxKazw</vt:lpwstr>
      </vt:variant>
      <vt:variant>
        <vt:lpwstr/>
      </vt:variant>
      <vt:variant>
        <vt:i4>2424895</vt:i4>
      </vt:variant>
      <vt:variant>
        <vt:i4>18</vt:i4>
      </vt:variant>
      <vt:variant>
        <vt:i4>0</vt:i4>
      </vt:variant>
      <vt:variant>
        <vt:i4>5</vt:i4>
      </vt:variant>
      <vt:variant>
        <vt:lpwstr>https://e-seimas.lrs.lt/portal/legalAct/lt/TAD/ebffac16bb0a11ea9a12d0dada3ca61b/asr</vt:lpwstr>
      </vt:variant>
      <vt:variant>
        <vt:lpwstr/>
      </vt:variant>
      <vt:variant>
        <vt:i4>3473520</vt:i4>
      </vt:variant>
      <vt:variant>
        <vt:i4>15</vt:i4>
      </vt:variant>
      <vt:variant>
        <vt:i4>0</vt:i4>
      </vt:variant>
      <vt:variant>
        <vt:i4>5</vt:i4>
      </vt:variant>
      <vt:variant>
        <vt:lpwstr>https://e-seimas.lrs.lt/portal/legalAct/lt/TAD/TAIS.270342/asr</vt:lpwstr>
      </vt:variant>
      <vt:variant>
        <vt:lpwstr/>
      </vt:variant>
      <vt:variant>
        <vt:i4>6750329</vt:i4>
      </vt:variant>
      <vt:variant>
        <vt:i4>12</vt:i4>
      </vt:variant>
      <vt:variant>
        <vt:i4>0</vt:i4>
      </vt:variant>
      <vt:variant>
        <vt:i4>5</vt:i4>
      </vt:variant>
      <vt:variant>
        <vt:lpwstr>https://www.klaipeda.lt/lt/sportas/sporto-programu-finansavimas/sporto-projektu-finansavimo-tvarka/5250</vt:lpwstr>
      </vt:variant>
      <vt:variant>
        <vt:lpwstr/>
      </vt:variant>
      <vt:variant>
        <vt:i4>6684690</vt:i4>
      </vt:variant>
      <vt:variant>
        <vt:i4>9</vt:i4>
      </vt:variant>
      <vt:variant>
        <vt:i4>0</vt:i4>
      </vt:variant>
      <vt:variant>
        <vt:i4>5</vt:i4>
      </vt:variant>
      <vt:variant>
        <vt:lpwstr>https://eacea.ec.europa.eu/national-policies/eurydice/content/early-childhood-and-school-education-funding-44_lt</vt:lpwstr>
      </vt:variant>
      <vt:variant>
        <vt:lpwstr/>
      </vt:variant>
      <vt:variant>
        <vt:i4>7012619</vt:i4>
      </vt:variant>
      <vt:variant>
        <vt:i4>6</vt:i4>
      </vt:variant>
      <vt:variant>
        <vt:i4>0</vt:i4>
      </vt:variant>
      <vt:variant>
        <vt:i4>5</vt:i4>
      </vt:variant>
      <vt:variant>
        <vt:lpwstr>https://klausk.vpt.lt/hc/lt/articles/360016426439-24-straipsnis-Rezervuota-teisė-dalyvauti-tam-tikrų-paslaugų-pirkimuose</vt:lpwstr>
      </vt:variant>
      <vt:variant>
        <vt:lpwstr/>
      </vt:variant>
      <vt:variant>
        <vt:i4>1572882</vt:i4>
      </vt:variant>
      <vt:variant>
        <vt:i4>0</vt:i4>
      </vt:variant>
      <vt:variant>
        <vt:i4>0</vt:i4>
      </vt:variant>
      <vt:variant>
        <vt:i4>5</vt:i4>
      </vt:variant>
      <vt:variant>
        <vt:lpwstr>https://e-seimas.lrs.lt/portal/legalAct/lt/TAP/203b913024fd11e79f4996496b137f39?jfwid=159qeeah4c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Ričardas Diržys</dc:creator>
  <cp:keywords/>
  <dc:description/>
  <cp:lastModifiedBy>Ričardas Diržys</cp:lastModifiedBy>
  <cp:revision>9</cp:revision>
  <dcterms:created xsi:type="dcterms:W3CDTF">2021-11-30T08:00:00Z</dcterms:created>
  <dcterms:modified xsi:type="dcterms:W3CDTF">2022-01-18T08:26:00Z</dcterms:modified>
</cp:coreProperties>
</file>