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8C" w:rsidRPr="004D6324" w:rsidRDefault="00C2678C" w:rsidP="00C2678C">
      <w:pPr>
        <w:ind w:left="6379"/>
        <w:jc w:val="left"/>
        <w:rPr>
          <w:rFonts w:ascii="Times New Roman" w:eastAsia="Times New Roman" w:hAnsi="Times New Roman" w:cs="Times New Roman"/>
          <w:sz w:val="24"/>
          <w:szCs w:val="24"/>
        </w:rPr>
      </w:pPr>
      <w:bookmarkStart w:id="0" w:name="_gjdgxs" w:colFirst="0" w:colLast="0"/>
      <w:bookmarkEnd w:id="0"/>
      <w:r w:rsidRPr="004D6324">
        <w:rPr>
          <w:rFonts w:ascii="Times New Roman" w:eastAsia="Times New Roman" w:hAnsi="Times New Roman" w:cs="Times New Roman"/>
          <w:sz w:val="24"/>
          <w:szCs w:val="24"/>
        </w:rPr>
        <w:t>Jaunimo savanorius priimančių organizacijų akreditavimo</w:t>
      </w:r>
    </w:p>
    <w:p w:rsidR="00C2678C" w:rsidRPr="004D6324" w:rsidRDefault="00C2678C" w:rsidP="00C2678C">
      <w:pPr>
        <w:ind w:left="6379"/>
        <w:jc w:val="left"/>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tvarkos aprašo</w:t>
      </w:r>
    </w:p>
    <w:p w:rsidR="00C2678C" w:rsidRPr="004D6324" w:rsidRDefault="00C2678C" w:rsidP="00C2678C">
      <w:pPr>
        <w:ind w:left="6379"/>
        <w:jc w:val="left"/>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1 priedas</w:t>
      </w:r>
    </w:p>
    <w:p w:rsidR="00C2678C" w:rsidRPr="004D6324" w:rsidRDefault="00C2678C" w:rsidP="00C2678C">
      <w:pPr>
        <w:spacing w:after="60"/>
        <w:ind w:left="0"/>
        <w:jc w:val="right"/>
        <w:rPr>
          <w:rFonts w:ascii="Times New Roman" w:eastAsia="Times New Roman" w:hAnsi="Times New Roman" w:cs="Times New Roman"/>
          <w:sz w:val="24"/>
          <w:szCs w:val="24"/>
        </w:rPr>
      </w:pPr>
    </w:p>
    <w:p w:rsidR="00C2678C" w:rsidRPr="004D6324" w:rsidRDefault="00C2678C" w:rsidP="00C2678C">
      <w:pPr>
        <w:ind w:left="0"/>
        <w:jc w:val="center"/>
        <w:rPr>
          <w:rFonts w:ascii="Times New Roman" w:eastAsia="Times New Roman" w:hAnsi="Times New Roman" w:cs="Times New Roman"/>
          <w:b/>
          <w:sz w:val="24"/>
          <w:szCs w:val="24"/>
        </w:rPr>
      </w:pPr>
      <w:r w:rsidRPr="004D6324">
        <w:rPr>
          <w:rFonts w:ascii="Times New Roman" w:eastAsia="Times New Roman" w:hAnsi="Times New Roman" w:cs="Times New Roman"/>
          <w:b/>
          <w:sz w:val="24"/>
          <w:szCs w:val="24"/>
        </w:rPr>
        <w:t>JAUNIMO SAVANORIUS PRIIMANČIŲ ORGANIZACIJŲ AKREDITAVIMO REKOMENDACIJOS AKREDITAVIMĄ VYKDANTIEMS EKSPERTAMS</w:t>
      </w:r>
    </w:p>
    <w:p w:rsidR="00C2678C" w:rsidRPr="004D6324" w:rsidRDefault="00C2678C" w:rsidP="00C2678C">
      <w:pPr>
        <w:spacing w:line="360" w:lineRule="auto"/>
        <w:rPr>
          <w:rFonts w:ascii="Times New Roman" w:eastAsia="Times New Roman" w:hAnsi="Times New Roman" w:cs="Times New Roman"/>
          <w:sz w:val="24"/>
          <w:szCs w:val="24"/>
        </w:rPr>
      </w:pPr>
    </w:p>
    <w:p w:rsidR="00C2678C" w:rsidRPr="004D6324" w:rsidRDefault="00C2678C" w:rsidP="00C2678C">
      <w:pPr>
        <w:numPr>
          <w:ilvl w:val="0"/>
          <w:numId w:val="2"/>
        </w:numPr>
        <w:pBdr>
          <w:top w:val="nil"/>
          <w:left w:val="nil"/>
          <w:bottom w:val="nil"/>
          <w:right w:val="nil"/>
          <w:between w:val="nil"/>
        </w:pBdr>
        <w:spacing w:line="360" w:lineRule="auto"/>
        <w:ind w:left="0" w:right="22" w:firstLine="567"/>
        <w:rPr>
          <w:rFonts w:ascii="Times New Roman" w:eastAsia="Times New Roman" w:hAnsi="Times New Roman" w:cs="Times New Roman"/>
          <w:b/>
          <w:sz w:val="24"/>
          <w:szCs w:val="24"/>
        </w:rPr>
      </w:pPr>
      <w:r w:rsidRPr="004D6324">
        <w:rPr>
          <w:rFonts w:ascii="Times New Roman" w:eastAsia="Times New Roman" w:hAnsi="Times New Roman" w:cs="Times New Roman"/>
          <w:b/>
          <w:sz w:val="24"/>
          <w:szCs w:val="24"/>
        </w:rPr>
        <w:t>Organizacijos vizitavimas arba nuotolinis pokalbis su organizacijos atstovu (-</w:t>
      </w:r>
      <w:proofErr w:type="spellStart"/>
      <w:r w:rsidRPr="004D6324">
        <w:rPr>
          <w:rFonts w:ascii="Times New Roman" w:eastAsia="Times New Roman" w:hAnsi="Times New Roman" w:cs="Times New Roman"/>
          <w:b/>
          <w:sz w:val="24"/>
          <w:szCs w:val="24"/>
        </w:rPr>
        <w:t>ais</w:t>
      </w:r>
      <w:proofErr w:type="spellEnd"/>
      <w:r w:rsidRPr="004D6324">
        <w:rPr>
          <w:rFonts w:ascii="Times New Roman" w:eastAsia="Times New Roman" w:hAnsi="Times New Roman" w:cs="Times New Roman"/>
          <w:b/>
          <w:sz w:val="24"/>
          <w:szCs w:val="24"/>
        </w:rPr>
        <w:t>):</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savanorius priimti ketinanti organizacija yra aplankoma arba pokalbis vykdomas nuotoliniu būdu Jaunimo savanorius priimančių organizacijų akreditavimo tvarkos aprašo nustatyta tvarka</w:t>
      </w:r>
      <w:r w:rsidR="007B2184">
        <w:rPr>
          <w:rFonts w:ascii="Times New Roman" w:eastAsia="Times New Roman" w:hAnsi="Times New Roman" w:cs="Times New Roman"/>
          <w:sz w:val="24"/>
          <w:szCs w:val="24"/>
        </w:rPr>
        <w:t>;</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 xml:space="preserve">vizito metu </w:t>
      </w:r>
      <w:r>
        <w:rPr>
          <w:rFonts w:ascii="Times New Roman" w:eastAsia="Times New Roman" w:hAnsi="Times New Roman" w:cs="Times New Roman"/>
          <w:sz w:val="24"/>
          <w:szCs w:val="24"/>
        </w:rPr>
        <w:t>ekspertas susitinka</w:t>
      </w:r>
      <w:r w:rsidRPr="004D6324">
        <w:rPr>
          <w:rFonts w:ascii="Times New Roman" w:eastAsia="Times New Roman" w:hAnsi="Times New Roman" w:cs="Times New Roman"/>
          <w:sz w:val="24"/>
          <w:szCs w:val="24"/>
        </w:rPr>
        <w:t xml:space="preserve"> su mažiausiai dviem žmonėmis: su asmeniu, atsakingu už savanorius, būsimu savanorių kuratoriumi ir organizacijos vadovu. Naudingiau, jei pokalbis su kiekvienu atstovu vyksta atskirai, o ne su visais vienu metu;</w:t>
      </w:r>
      <w:r w:rsidRPr="004D6324">
        <w:rPr>
          <w:rFonts w:ascii="Times New Roman" w:eastAsia="Times New Roman" w:hAnsi="Times New Roman" w:cs="Times New Roman"/>
          <w:i/>
          <w:sz w:val="24"/>
          <w:szCs w:val="24"/>
        </w:rPr>
        <w:t xml:space="preserve"> </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prieš apsilankant organizacijoje rekomenduojama surinkti kuo daugiau informacijos apie ją (internete ir pan.)</w:t>
      </w:r>
      <w:r>
        <w:t>.</w:t>
      </w:r>
      <w:r w:rsidRPr="004D6324">
        <w:rPr>
          <w:rFonts w:ascii="Times New Roman" w:eastAsia="Times New Roman" w:hAnsi="Times New Roman" w:cs="Times New Roman"/>
          <w:sz w:val="24"/>
          <w:szCs w:val="24"/>
        </w:rPr>
        <w:t>, pakartotinės akreditacijos atveju pasidomėti ankstesniu ekspertų vertinimu</w:t>
      </w:r>
      <w:r>
        <w:rPr>
          <w:rFonts w:ascii="Times New Roman" w:eastAsia="Times New Roman" w:hAnsi="Times New Roman" w:cs="Times New Roman"/>
          <w:sz w:val="24"/>
          <w:szCs w:val="24"/>
        </w:rPr>
        <w:t xml:space="preserve"> bei atsižvelgti į savanorišką veiklą organizuojančios organizacijos rekomendacijas</w:t>
      </w:r>
      <w:r w:rsidRPr="004D6324">
        <w:rPr>
          <w:rFonts w:ascii="Times New Roman" w:eastAsia="Times New Roman" w:hAnsi="Times New Roman" w:cs="Times New Roman"/>
          <w:sz w:val="24"/>
          <w:szCs w:val="24"/>
        </w:rPr>
        <w:t>;</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prieš susitikimą sutariama dėl vizito laiko plano, kad organizacijos darbuotojai galėtų orientuotis ir planuotis kitus darbus;</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siūloma vizito eiga: 1) susitikimai ir pokalbiai su organizacijos atstovais, patalpų apžiūrėjimas ir veiklos stebėjimas; 2) eksperto išvados, pastebėjimai ir komentarai (grįžtamasis ryšys);</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siūlomos vizito ar nuotolinio pokalbio temos: 1) struktūra (kaip darbuotojai dalijasi darbus, kaip bus užtikrinamos reikalingos priemonės savanoriškai veiklai vykdyti); 2) žinios ir įgūdžiai (jei akreditacija pakartotinė, aptariama, kas, kaip ir kodėl keitėsi, kokie pagrindiniai savanoriškos veiklos organizavimo patobulinimai buvo atlikti); 3) organizacijos požiūris į planuojamą veiklą ir galimus pasikeitimus; 4) aptarti galimas darbo su savanoriais rizikas</w:t>
      </w:r>
      <w:r w:rsidR="007B2184">
        <w:rPr>
          <w:rFonts w:ascii="Times New Roman" w:eastAsia="Times New Roman" w:hAnsi="Times New Roman" w:cs="Times New Roman"/>
          <w:sz w:val="24"/>
          <w:szCs w:val="24"/>
        </w:rPr>
        <w:t>;</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jei yra galimybė - susitikti su esamais savanoriais</w:t>
      </w:r>
      <w:r w:rsidR="007B2184">
        <w:rPr>
          <w:rFonts w:ascii="Times New Roman" w:eastAsia="Times New Roman" w:hAnsi="Times New Roman" w:cs="Times New Roman"/>
          <w:sz w:val="24"/>
          <w:szCs w:val="24"/>
        </w:rPr>
        <w:t>;</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ekspertas neturėtų iš karto priimti sprendimo dėl akreditacijos, neįvertinęs paraiškos ir lankymosi rezultatų kaip visumos.</w:t>
      </w:r>
    </w:p>
    <w:p w:rsidR="00C2678C" w:rsidRPr="004D6324" w:rsidRDefault="00C2678C" w:rsidP="00C2678C">
      <w:pPr>
        <w:numPr>
          <w:ilvl w:val="0"/>
          <w:numId w:val="2"/>
        </w:numPr>
        <w:pBdr>
          <w:top w:val="nil"/>
          <w:left w:val="nil"/>
          <w:bottom w:val="nil"/>
          <w:right w:val="nil"/>
          <w:between w:val="nil"/>
        </w:pBdr>
        <w:spacing w:line="360" w:lineRule="auto"/>
        <w:ind w:left="0" w:right="22" w:firstLine="567"/>
        <w:rPr>
          <w:rFonts w:ascii="Times New Roman" w:eastAsia="Times New Roman" w:hAnsi="Times New Roman" w:cs="Times New Roman"/>
          <w:b/>
          <w:sz w:val="24"/>
          <w:szCs w:val="24"/>
        </w:rPr>
      </w:pPr>
      <w:r w:rsidRPr="004D6324">
        <w:rPr>
          <w:rFonts w:ascii="Times New Roman" w:eastAsia="Times New Roman" w:hAnsi="Times New Roman" w:cs="Times New Roman"/>
          <w:b/>
          <w:sz w:val="24"/>
          <w:szCs w:val="24"/>
        </w:rPr>
        <w:t xml:space="preserve">Vertinimo vizito ataskaita: </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vertinimo ataskaitą (Jaunimo savanorius priimančių organizacijų akreditavimo tvarkos aprašo 3 priedas) pildo savanorius priimti ketinančią organizaciją vizituojantis ekspertas;</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vertinimo ataskaita yra priemonė aptarti visus svarbiausius vertinimo aspektus;</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žymėjimai ataskaitoje:</w:t>
      </w:r>
    </w:p>
    <w:p w:rsidR="00C2678C" w:rsidRPr="004D6324" w:rsidRDefault="00C2678C" w:rsidP="00C2678C">
      <w:pPr>
        <w:numPr>
          <w:ilvl w:val="0"/>
          <w:numId w:val="1"/>
        </w:numPr>
        <w:pBdr>
          <w:top w:val="nil"/>
          <w:left w:val="nil"/>
          <w:bottom w:val="nil"/>
          <w:right w:val="nil"/>
          <w:between w:val="nil"/>
        </w:pBdr>
        <w:spacing w:line="360" w:lineRule="auto"/>
        <w:ind w:left="0" w:right="22" w:firstLine="567"/>
        <w:rPr>
          <w:sz w:val="24"/>
          <w:szCs w:val="24"/>
        </w:rPr>
      </w:pPr>
      <w:r w:rsidRPr="004D6324">
        <w:rPr>
          <w:rFonts w:ascii="Times New Roman" w:eastAsia="Times New Roman" w:hAnsi="Times New Roman" w:cs="Times New Roman"/>
          <w:sz w:val="24"/>
          <w:szCs w:val="24"/>
        </w:rPr>
        <w:lastRenderedPageBreak/>
        <w:t>„+“</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(pliuso)</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ženklu vertinami tie aspektai, kuriuos akreditavimo ekspertas vertina teigiamai ir mano, kad organizacijos žinios / įgūdžiai / suvokimas / situacija / pasiruošimas jų atžvilgiu yra pakankami akreditacijai</w:t>
      </w:r>
      <w:r w:rsidRPr="004D6324">
        <w:rPr>
          <w:rFonts w:ascii="Times New Roman" w:eastAsia="Times New Roman" w:hAnsi="Times New Roman" w:cs="Times New Roman"/>
          <w:i/>
          <w:sz w:val="24"/>
          <w:szCs w:val="24"/>
        </w:rPr>
        <w:t>, prisidedantys prie saugios ir mokymuisi bei tarnybai palankios aplinkos savanoriui sukūrimo.</w:t>
      </w:r>
      <w:r w:rsidRPr="004D6324">
        <w:rPr>
          <w:rFonts w:ascii="Times New Roman" w:eastAsia="Times New Roman" w:hAnsi="Times New Roman" w:cs="Times New Roman"/>
          <w:b/>
          <w:i/>
          <w:sz w:val="24"/>
          <w:szCs w:val="24"/>
        </w:rPr>
        <w:t xml:space="preserve"> </w:t>
      </w:r>
      <w:r w:rsidRPr="004D6324">
        <w:rPr>
          <w:rFonts w:ascii="Times New Roman" w:eastAsia="Times New Roman" w:hAnsi="Times New Roman" w:cs="Times New Roman"/>
          <w:sz w:val="24"/>
          <w:szCs w:val="24"/>
        </w:rPr>
        <w:t>Jei taip nėra arba kyla stiprių abejonių, žymima „–“</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(minuso) ženklu;</w:t>
      </w:r>
    </w:p>
    <w:p w:rsidR="00C2678C" w:rsidRPr="004D6324" w:rsidRDefault="00C2678C" w:rsidP="00C2678C">
      <w:pPr>
        <w:numPr>
          <w:ilvl w:val="0"/>
          <w:numId w:val="1"/>
        </w:numPr>
        <w:pBdr>
          <w:top w:val="nil"/>
          <w:left w:val="nil"/>
          <w:bottom w:val="nil"/>
          <w:right w:val="nil"/>
          <w:between w:val="nil"/>
        </w:pBdr>
        <w:spacing w:line="360" w:lineRule="auto"/>
        <w:ind w:left="0" w:right="22" w:firstLine="567"/>
        <w:rPr>
          <w:b/>
          <w:sz w:val="24"/>
          <w:szCs w:val="24"/>
        </w:rPr>
      </w:pPr>
      <w:r w:rsidRPr="004D6324">
        <w:rPr>
          <w:rFonts w:ascii="Times New Roman" w:eastAsia="Times New Roman" w:hAnsi="Times New Roman" w:cs="Times New Roman"/>
          <w:sz w:val="24"/>
          <w:szCs w:val="24"/>
        </w:rPr>
        <w:t xml:space="preserve"> lankymo ataskaitoje kiekvienas klausimas turėtų būti įvertintas „+“ arba „–“; </w:t>
      </w:r>
    </w:p>
    <w:p w:rsidR="00C2678C" w:rsidRPr="004D6324" w:rsidRDefault="00C2678C" w:rsidP="00C2678C">
      <w:pPr>
        <w:numPr>
          <w:ilvl w:val="0"/>
          <w:numId w:val="1"/>
        </w:numPr>
        <w:pBdr>
          <w:top w:val="nil"/>
          <w:left w:val="nil"/>
          <w:bottom w:val="nil"/>
          <w:right w:val="nil"/>
          <w:between w:val="nil"/>
        </w:pBdr>
        <w:spacing w:line="360" w:lineRule="auto"/>
        <w:ind w:left="0" w:right="22" w:firstLine="567"/>
        <w:rPr>
          <w:sz w:val="24"/>
          <w:szCs w:val="24"/>
        </w:rPr>
      </w:pPr>
      <w:r w:rsidRPr="004D6324">
        <w:rPr>
          <w:rFonts w:ascii="Times New Roman" w:eastAsia="Times New Roman" w:hAnsi="Times New Roman" w:cs="Times New Roman"/>
          <w:sz w:val="24"/>
          <w:szCs w:val="24"/>
        </w:rPr>
        <w:t>„S“</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 xml:space="preserve">raide žymimi tie aspektai (tiek teigiamai, tiek neigiamai vertinami), </w:t>
      </w:r>
      <w:r w:rsidRPr="004D6324">
        <w:rPr>
          <w:rFonts w:ascii="Times New Roman" w:eastAsia="Times New Roman" w:hAnsi="Times New Roman" w:cs="Times New Roman"/>
          <w:i/>
          <w:sz w:val="24"/>
          <w:szCs w:val="24"/>
        </w:rPr>
        <w:t>Šiuo žymėjimu galima remtis vizito pabaigoje, pateikiant grįžtamąjį ryšį organizacijai;</w:t>
      </w:r>
    </w:p>
    <w:p w:rsidR="00C2678C" w:rsidRPr="004D6324" w:rsidRDefault="00C2678C" w:rsidP="00C2678C">
      <w:pPr>
        <w:numPr>
          <w:ilvl w:val="0"/>
          <w:numId w:val="1"/>
        </w:numPr>
        <w:pBdr>
          <w:top w:val="nil"/>
          <w:left w:val="nil"/>
          <w:bottom w:val="nil"/>
          <w:right w:val="nil"/>
          <w:between w:val="nil"/>
        </w:pBdr>
        <w:spacing w:line="360" w:lineRule="auto"/>
        <w:ind w:left="0" w:right="22" w:firstLine="567"/>
        <w:rPr>
          <w:b/>
          <w:sz w:val="24"/>
          <w:szCs w:val="24"/>
        </w:rPr>
      </w:pPr>
      <w:r w:rsidRPr="004D6324">
        <w:rPr>
          <w:rFonts w:ascii="Times New Roman" w:eastAsia="Times New Roman" w:hAnsi="Times New Roman" w:cs="Times New Roman"/>
          <w:sz w:val="24"/>
          <w:szCs w:val="24"/>
        </w:rPr>
        <w:t xml:space="preserve"> nebūtina komentuoti kiekvieno aspekto.</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 xml:space="preserve">Pastabas, komentarus ir vertinimus būtina pateikti prie </w:t>
      </w:r>
      <w:r>
        <w:rPr>
          <w:rFonts w:ascii="Times New Roman" w:eastAsia="Times New Roman" w:hAnsi="Times New Roman" w:cs="Times New Roman"/>
          <w:sz w:val="24"/>
          <w:szCs w:val="24"/>
        </w:rPr>
        <w:t xml:space="preserve">aspektų, </w:t>
      </w:r>
      <w:r w:rsidRPr="004D6324">
        <w:rPr>
          <w:rFonts w:ascii="Times New Roman" w:eastAsia="Times New Roman" w:hAnsi="Times New Roman" w:cs="Times New Roman"/>
          <w:sz w:val="24"/>
          <w:szCs w:val="24"/>
        </w:rPr>
        <w:t>kurie atrodo svarbūs, o jų vertinimas išryškina organizacijos stipriąsias bei silpnąsias vietas. Prie kitų aspektų pastabas rekomenduojama rašyti tuomet, jei jos atrodo reikalingos ir reikšmingos, – tiek priimant sprendimą dėl akreditacijos, tiek ateityje dirbant su organizacija (mokymuose, konsultuojant ir pan.);</w:t>
      </w:r>
    </w:p>
    <w:p w:rsidR="00C2678C" w:rsidRPr="004D6324" w:rsidRDefault="00C2678C" w:rsidP="00C2678C">
      <w:pPr>
        <w:numPr>
          <w:ilvl w:val="0"/>
          <w:numId w:val="1"/>
        </w:numPr>
        <w:pBdr>
          <w:top w:val="nil"/>
          <w:left w:val="nil"/>
          <w:bottom w:val="nil"/>
          <w:right w:val="nil"/>
          <w:between w:val="nil"/>
        </w:pBdr>
        <w:spacing w:line="360" w:lineRule="auto"/>
        <w:ind w:left="0" w:right="22" w:firstLine="567"/>
        <w:rPr>
          <w:b/>
          <w:sz w:val="24"/>
          <w:szCs w:val="24"/>
        </w:rPr>
      </w:pP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vertinimo ataskaitoje aprašoma organizacijos būsena po eksperto apsilankymo, o ne prieš jį. Jei vizito metu akreditavimo ekspertas su organizacijos atstovais aptarė tam tikrus klausimus ir dėl to situacija pasikeitė, organizacija žodžiu įvardija veiksmų planą, stebimas realus (ne tik deklaruojamas) pasiryžimas tobulėti, tokiu atveju aptartus aspektus ataskaitoje galima vertinti teigiamai (t. y. vertinama situacija po vizito, o ne prieš jį). Kita vertus, jei pokalbis buvo daugiau informacinis ir ekspertas nėra tikras, ar po pokalbio organizacijoje kas nors pasikeis, arba pokyčiams reikia daug laiko, valios ir pastangų, tokiu atveju situaciją aiškiau atspindėtų žymėjimas minuso ženklu;</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vertinimo ataskaita yra vidaus dokumentas.</w:t>
      </w:r>
      <w:r w:rsidRPr="004D6324">
        <w:rPr>
          <w:rFonts w:ascii="Times New Roman" w:eastAsia="Times New Roman" w:hAnsi="Times New Roman" w:cs="Times New Roman"/>
          <w:b/>
          <w:sz w:val="24"/>
          <w:szCs w:val="24"/>
        </w:rPr>
        <w:t xml:space="preserve"> </w:t>
      </w:r>
      <w:r w:rsidRPr="004D6324">
        <w:rPr>
          <w:rFonts w:ascii="Times New Roman" w:eastAsia="Times New Roman" w:hAnsi="Times New Roman" w:cs="Times New Roman"/>
          <w:sz w:val="24"/>
          <w:szCs w:val="24"/>
        </w:rPr>
        <w:t xml:space="preserve">Jis negali būti persiunčiamas organizacijai arba jos atstovams. </w:t>
      </w:r>
    </w:p>
    <w:p w:rsidR="00C2678C" w:rsidRPr="004D6324" w:rsidRDefault="00C2678C" w:rsidP="00C2678C">
      <w:pPr>
        <w:numPr>
          <w:ilvl w:val="0"/>
          <w:numId w:val="2"/>
        </w:numPr>
        <w:pBdr>
          <w:top w:val="nil"/>
          <w:left w:val="nil"/>
          <w:bottom w:val="nil"/>
          <w:right w:val="nil"/>
          <w:between w:val="nil"/>
        </w:pBdr>
        <w:spacing w:line="360" w:lineRule="auto"/>
        <w:ind w:left="0" w:right="22" w:firstLine="567"/>
        <w:rPr>
          <w:rFonts w:ascii="Times New Roman" w:eastAsia="Times New Roman" w:hAnsi="Times New Roman" w:cs="Times New Roman"/>
          <w:b/>
          <w:sz w:val="24"/>
          <w:szCs w:val="24"/>
        </w:rPr>
      </w:pPr>
      <w:r w:rsidRPr="004D6324">
        <w:rPr>
          <w:rFonts w:ascii="Times New Roman" w:eastAsia="Times New Roman" w:hAnsi="Times New Roman" w:cs="Times New Roman"/>
          <w:b/>
          <w:sz w:val="24"/>
          <w:szCs w:val="24"/>
        </w:rPr>
        <w:t>Sprendimas:</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sprendimą akredituoti ar neakredituoti ekspertas priima remdamasis paraiška, bendravimo su organizacija (telefonu, el. paštu, vizito metu) rezultatais bei kita apie organizaciją žinoma informacija;</w:t>
      </w:r>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 xml:space="preserve">sprendimas gali būti </w:t>
      </w:r>
      <w:r w:rsidRPr="004D6324">
        <w:rPr>
          <w:rFonts w:ascii="Times New Roman" w:eastAsia="Times New Roman" w:hAnsi="Times New Roman" w:cs="Times New Roman"/>
          <w:b/>
          <w:sz w:val="24"/>
          <w:szCs w:val="24"/>
        </w:rPr>
        <w:t>akredituoti</w:t>
      </w:r>
      <w:r w:rsidRPr="004D6324">
        <w:rPr>
          <w:rFonts w:ascii="Times New Roman" w:eastAsia="Times New Roman" w:hAnsi="Times New Roman" w:cs="Times New Roman"/>
          <w:sz w:val="24"/>
          <w:szCs w:val="24"/>
        </w:rPr>
        <w:t xml:space="preserve"> arba </w:t>
      </w:r>
      <w:r w:rsidRPr="004D6324">
        <w:rPr>
          <w:rFonts w:ascii="Times New Roman" w:eastAsia="Times New Roman" w:hAnsi="Times New Roman" w:cs="Times New Roman"/>
          <w:b/>
          <w:sz w:val="24"/>
          <w:szCs w:val="24"/>
        </w:rPr>
        <w:t>neakredituoti</w:t>
      </w:r>
      <w:r w:rsidRPr="004D6324">
        <w:rPr>
          <w:rFonts w:ascii="Times New Roman" w:eastAsia="Times New Roman" w:hAnsi="Times New Roman" w:cs="Times New Roman"/>
          <w:sz w:val="24"/>
          <w:szCs w:val="24"/>
        </w:rPr>
        <w:t xml:space="preserve"> organizacijos</w:t>
      </w:r>
      <w:r w:rsidR="00AF017C">
        <w:rPr>
          <w:rFonts w:ascii="Times New Roman" w:eastAsia="Times New Roman" w:hAnsi="Times New Roman" w:cs="Times New Roman"/>
          <w:sz w:val="24"/>
          <w:szCs w:val="24"/>
        </w:rPr>
        <w:t>;</w:t>
      </w:r>
      <w:bookmarkStart w:id="1" w:name="_GoBack"/>
      <w:bookmarkEnd w:id="1"/>
    </w:p>
    <w:p w:rsidR="00C2678C" w:rsidRPr="004D6324" w:rsidRDefault="00C2678C" w:rsidP="00C2678C">
      <w:pPr>
        <w:numPr>
          <w:ilvl w:val="1"/>
          <w:numId w:val="2"/>
        </w:numPr>
        <w:pBdr>
          <w:top w:val="nil"/>
          <w:left w:val="nil"/>
          <w:bottom w:val="nil"/>
          <w:right w:val="nil"/>
          <w:between w:val="nil"/>
        </w:pBdr>
        <w:spacing w:line="360" w:lineRule="auto"/>
        <w:ind w:left="0" w:right="22" w:firstLine="567"/>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sprendimas, vertinimas ir rekomendacijos turi būti užfiksuoti sprendimo lape (Jaunimo savanorius priimančių organizacijų akreditavimo tvarkos aprašo 4 priedas). Bet kuri sprendimo lape nurodyta informacija gali būti persiųsta organizacijai arba įtraukta į organizacijai siunčiamą pranešimą apie sprendimą.</w:t>
      </w:r>
    </w:p>
    <w:p w:rsidR="00C2678C" w:rsidRPr="004D6324" w:rsidRDefault="00C2678C" w:rsidP="00C2678C">
      <w:pPr>
        <w:pBdr>
          <w:top w:val="nil"/>
          <w:left w:val="nil"/>
          <w:bottom w:val="nil"/>
          <w:right w:val="nil"/>
          <w:between w:val="nil"/>
        </w:pBdr>
        <w:spacing w:line="360" w:lineRule="auto"/>
        <w:ind w:left="714" w:right="22" w:firstLine="720"/>
        <w:jc w:val="center"/>
        <w:rPr>
          <w:rFonts w:ascii="Times New Roman" w:eastAsia="Times New Roman" w:hAnsi="Times New Roman" w:cs="Times New Roman"/>
          <w:sz w:val="24"/>
          <w:szCs w:val="24"/>
        </w:rPr>
      </w:pPr>
      <w:r w:rsidRPr="004D6324">
        <w:rPr>
          <w:rFonts w:ascii="Times New Roman" w:eastAsia="Times New Roman" w:hAnsi="Times New Roman" w:cs="Times New Roman"/>
          <w:sz w:val="24"/>
          <w:szCs w:val="24"/>
        </w:rPr>
        <w:t xml:space="preserve"> </w:t>
      </w:r>
      <w:r w:rsidRPr="004D6324">
        <w:rPr>
          <w:rFonts w:ascii="Times New Roman" w:eastAsia="Times New Roman" w:hAnsi="Times New Roman" w:cs="Times New Roman"/>
          <w:sz w:val="24"/>
          <w:szCs w:val="24"/>
          <w:highlight w:val="white"/>
        </w:rPr>
        <w:t>________________________</w:t>
      </w:r>
    </w:p>
    <w:p w:rsidR="00C2678C" w:rsidRPr="004D6324" w:rsidRDefault="00C2678C" w:rsidP="00C2678C">
      <w:pPr>
        <w:rPr>
          <w:rFonts w:ascii="Times New Roman" w:eastAsia="Times New Roman" w:hAnsi="Times New Roman" w:cs="Times New Roman"/>
          <w:sz w:val="24"/>
          <w:szCs w:val="24"/>
        </w:rPr>
      </w:pPr>
    </w:p>
    <w:p w:rsidR="00AA79C3" w:rsidRDefault="00AA79C3"/>
    <w:sectPr w:rsidR="00AA79C3">
      <w:headerReference w:type="default" r:id="rId7"/>
      <w:pgSz w:w="12240" w:h="15840"/>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A1" w:rsidRDefault="000A23A1">
      <w:r>
        <w:separator/>
      </w:r>
    </w:p>
  </w:endnote>
  <w:endnote w:type="continuationSeparator" w:id="0">
    <w:p w:rsidR="000A23A1" w:rsidRDefault="000A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A1" w:rsidRDefault="000A23A1">
      <w:r>
        <w:separator/>
      </w:r>
    </w:p>
  </w:footnote>
  <w:footnote w:type="continuationSeparator" w:id="0">
    <w:p w:rsidR="000A23A1" w:rsidRDefault="000A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0F" w:rsidRDefault="00C2678C">
    <w:pPr>
      <w:pBdr>
        <w:top w:val="nil"/>
        <w:left w:val="nil"/>
        <w:bottom w:val="nil"/>
        <w:right w:val="nil"/>
        <w:between w:val="nil"/>
      </w:pBdr>
      <w:tabs>
        <w:tab w:val="center" w:pos="4680"/>
        <w:tab w:val="right" w:pos="9360"/>
      </w:tabs>
      <w:ind w:hanging="720"/>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8D0D0F" w:rsidRDefault="000A23A1">
    <w:pPr>
      <w:pBdr>
        <w:top w:val="nil"/>
        <w:left w:val="nil"/>
        <w:bottom w:val="nil"/>
        <w:right w:val="nil"/>
        <w:between w:val="nil"/>
      </w:pBdr>
      <w:tabs>
        <w:tab w:val="center" w:pos="4680"/>
        <w:tab w:val="right" w:pos="9360"/>
      </w:tabs>
      <w:ind w:hanging="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64A"/>
    <w:multiLevelType w:val="multilevel"/>
    <w:tmpl w:val="7E98F630"/>
    <w:lvl w:ilvl="0">
      <w:start w:val="1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855534"/>
    <w:multiLevelType w:val="multilevel"/>
    <w:tmpl w:val="F866F3F2"/>
    <w:lvl w:ilvl="0">
      <w:start w:val="1"/>
      <w:numFmt w:val="decimal"/>
      <w:lvlText w:val="%1."/>
      <w:lvlJc w:val="left"/>
      <w:pPr>
        <w:ind w:left="720" w:hanging="360"/>
      </w:pPr>
    </w:lvl>
    <w:lvl w:ilvl="1">
      <w:start w:val="1"/>
      <w:numFmt w:val="decimal"/>
      <w:lvlText w:val="%1.%2."/>
      <w:lvlJc w:val="left"/>
      <w:pPr>
        <w:ind w:left="163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B6"/>
    <w:rsid w:val="000A23A1"/>
    <w:rsid w:val="005476B6"/>
    <w:rsid w:val="007B2184"/>
    <w:rsid w:val="00AA79C3"/>
    <w:rsid w:val="00AF017C"/>
    <w:rsid w:val="00C2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3E0"/>
  <w15:docId w15:val="{F98ACCD5-41ED-4313-8018-681BFBCC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78C"/>
    <w:pPr>
      <w:spacing w:after="0" w:line="240" w:lineRule="auto"/>
      <w:ind w:left="720"/>
      <w:jc w:val="both"/>
    </w:pPr>
    <w:rPr>
      <w:rFonts w:ascii="Arial" w:eastAsia="Arial"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2991</Words>
  <Characters>1706</Characters>
  <Application>Microsoft Office Word</Application>
  <DocSecurity>0</DocSecurity>
  <Lines>14</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Gaučiūtė</dc:creator>
  <cp:keywords/>
  <dc:description/>
  <cp:lastModifiedBy>Gabija Balzareviciute</cp:lastModifiedBy>
  <cp:revision>4</cp:revision>
  <dcterms:created xsi:type="dcterms:W3CDTF">2021-12-30T10:04:00Z</dcterms:created>
  <dcterms:modified xsi:type="dcterms:W3CDTF">2022-02-10T15:38:00Z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11074604</vt:lpwstr>
  </property>
  <property fmtid="{D5CDD505-2E9C-101B-9397-08002B2CF9AE}" pid="7" name="DISTaskPaneUrl">
    <vt:lpwstr>http://edvs.epaslaugos.lt/cs/idcplg?ClientControlled=DocMan&amp;coreContentOnly=1&amp;WebdavRequest=1&amp;IdcService=DOC_INFO&amp;dID=1232357</vt:lpwstr>
  </property>
  <property fmtid="{D5CDD505-2E9C-101B-9397-08002B2CF9AE}" pid="8" name="DISC_AdditionalMakers">
    <vt:lpwstr> </vt:lpwstr>
  </property>
  <property fmtid="{D5CDD505-2E9C-101B-9397-08002B2CF9AE}" pid="9" name="DISC_OrgAuthor">
    <vt:lpwstr>Jaunimo reikalų departamentas prie Socialinės apsaugos ir darbo ministerijos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sandra.gauciute</vt:lpwstr>
  </property>
  <property fmtid="{D5CDD505-2E9C-101B-9397-08002B2CF9AE}" pid="20" name="DISC_AdditionalApprovers">
    <vt:lpwstr> </vt:lpwstr>
  </property>
  <property fmtid="{D5CDD505-2E9C-101B-9397-08002B2CF9AE}" pid="21" name="DISdID">
    <vt:lpwstr>1232357</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